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130" w:leftChars="300" w:hanging="500" w:hangingChars="500"/>
        <w:jc w:val="left"/>
        <w:rPr>
          <w:rFonts w:ascii="黑体" w:hAnsi="黑体" w:cs="宋体"/>
          <w:b/>
          <w:kern w:val="0"/>
          <w:sz w:val="10"/>
          <w:szCs w:val="10"/>
        </w:rPr>
      </w:pPr>
      <w:r>
        <w:rPr>
          <w:rFonts w:hint="eastAsia" w:ascii="黑体" w:hAnsi="黑体" w:cs="宋体"/>
          <w:b/>
          <w:kern w:val="0"/>
          <w:sz w:val="10"/>
          <w:szCs w:val="10"/>
          <w:u w:val="single"/>
        </w:rPr>
        <w:drawing>
          <wp:inline distT="0" distB="0" distL="114300" distR="114300">
            <wp:extent cx="2121535" cy="859790"/>
            <wp:effectExtent l="0" t="0" r="12065" b="16510"/>
            <wp:docPr id="8"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logo"/>
                    <pic:cNvPicPr>
                      <a:picLocks noChangeAspect="1"/>
                    </pic:cNvPicPr>
                  </pic:nvPicPr>
                  <pic:blipFill>
                    <a:blip r:embed="rId14" cstate="print"/>
                    <a:stretch>
                      <a:fillRect/>
                    </a:stretch>
                  </pic:blipFill>
                  <pic:spPr>
                    <a:xfrm>
                      <a:off x="0" y="0"/>
                      <a:ext cx="2121535" cy="859790"/>
                    </a:xfrm>
                    <a:prstGeom prst="rect">
                      <a:avLst/>
                    </a:prstGeom>
                    <a:noFill/>
                    <a:ln>
                      <a:noFill/>
                    </a:ln>
                  </pic:spPr>
                </pic:pic>
              </a:graphicData>
            </a:graphic>
          </wp:inline>
        </w:drawing>
      </w:r>
    </w:p>
    <w:p>
      <w:pPr>
        <w:spacing w:line="360" w:lineRule="auto"/>
        <w:rPr>
          <w:rFonts w:ascii="宋体" w:hAnsi="宋体" w:cs="仿宋"/>
          <w:b/>
          <w:bCs/>
          <w:sz w:val="48"/>
          <w:szCs w:val="48"/>
        </w:rPr>
      </w:pPr>
    </w:p>
    <w:p>
      <w:pPr>
        <w:spacing w:line="360" w:lineRule="auto"/>
        <w:rPr>
          <w:rFonts w:ascii="宋体" w:hAnsi="宋体" w:cs="仿宋"/>
          <w:b/>
          <w:bCs/>
          <w:sz w:val="48"/>
          <w:szCs w:val="48"/>
        </w:rPr>
      </w:pPr>
    </w:p>
    <w:p>
      <w:pPr>
        <w:spacing w:line="360" w:lineRule="auto"/>
        <w:rPr>
          <w:rFonts w:ascii="宋体" w:hAnsi="宋体" w:cs="仿宋"/>
          <w:b/>
          <w:bCs/>
          <w:sz w:val="44"/>
          <w:szCs w:val="44"/>
        </w:rPr>
      </w:pPr>
      <w:r>
        <w:rPr>
          <w:rFonts w:hint="eastAsia" w:ascii="宋体" w:hAnsi="宋体" w:cs="仿宋"/>
          <w:b/>
          <w:bCs/>
          <w:sz w:val="44"/>
          <w:szCs w:val="44"/>
        </w:rPr>
        <w:t>江西省</w:t>
      </w:r>
      <w:r>
        <w:rPr>
          <w:rFonts w:hint="eastAsia" w:ascii="宋体" w:hAnsi="宋体" w:cs="仿宋"/>
          <w:b/>
          <w:bCs/>
          <w:color w:val="000000"/>
          <w:sz w:val="44"/>
          <w:szCs w:val="44"/>
        </w:rPr>
        <w:t>新余市</w:t>
      </w:r>
      <w:r>
        <w:rPr>
          <w:rFonts w:hint="eastAsia" w:ascii="宋体" w:hAnsi="宋体" w:cs="仿宋"/>
          <w:b/>
          <w:bCs/>
          <w:sz w:val="44"/>
          <w:szCs w:val="44"/>
        </w:rPr>
        <w:t>两江黑臭水体整治工程项目</w:t>
      </w:r>
    </w:p>
    <w:p>
      <w:pPr>
        <w:spacing w:line="360" w:lineRule="auto"/>
        <w:jc w:val="center"/>
        <w:rPr>
          <w:rFonts w:ascii="宋体" w:hAnsi="宋体" w:cs="仿宋"/>
          <w:b/>
          <w:bCs/>
          <w:sz w:val="48"/>
          <w:szCs w:val="48"/>
        </w:rPr>
      </w:pPr>
      <w:r>
        <w:rPr>
          <w:rFonts w:hint="eastAsia" w:ascii="宋体" w:hAnsi="宋体" w:cs="仿宋"/>
          <w:b/>
          <w:bCs/>
          <w:sz w:val="48"/>
          <w:szCs w:val="48"/>
        </w:rPr>
        <w:t>楼宇雨污分流器采购</w:t>
      </w:r>
    </w:p>
    <w:p>
      <w:pPr>
        <w:spacing w:after="120" w:line="360" w:lineRule="atLeast"/>
        <w:jc w:val="center"/>
        <w:rPr>
          <w:rFonts w:ascii="宋体" w:hAnsi="宋体" w:cs="Arial"/>
          <w:b/>
          <w:sz w:val="50"/>
          <w:szCs w:val="50"/>
        </w:rPr>
      </w:pPr>
    </w:p>
    <w:p>
      <w:pPr>
        <w:spacing w:line="360" w:lineRule="auto"/>
        <w:jc w:val="center"/>
        <w:rPr>
          <w:rFonts w:ascii="黑体" w:hAnsi="黑体" w:eastAsia="黑体" w:cs="宋体"/>
          <w:b/>
          <w:kern w:val="0"/>
          <w:sz w:val="84"/>
          <w:szCs w:val="84"/>
        </w:rPr>
      </w:pPr>
      <w:r>
        <w:rPr>
          <w:rFonts w:hint="eastAsia" w:ascii="黑体" w:hAnsi="黑体" w:eastAsia="黑体" w:cs="宋体"/>
          <w:b/>
          <w:kern w:val="0"/>
          <w:sz w:val="84"/>
          <w:szCs w:val="84"/>
        </w:rPr>
        <w:t>招标文件</w:t>
      </w:r>
    </w:p>
    <w:p>
      <w:pPr>
        <w:spacing w:after="120" w:line="360" w:lineRule="atLeast"/>
        <w:rPr>
          <w:rFonts w:ascii="宋体" w:cs="宋体"/>
          <w:b/>
          <w:sz w:val="32"/>
          <w:szCs w:val="32"/>
        </w:rPr>
      </w:pPr>
    </w:p>
    <w:p>
      <w:pPr>
        <w:spacing w:line="560" w:lineRule="exact"/>
        <w:jc w:val="center"/>
        <w:rPr>
          <w:rFonts w:hint="default" w:ascii="宋体" w:hAnsi="宋体" w:eastAsia="宋体"/>
          <w:b/>
          <w:sz w:val="44"/>
          <w:lang w:val="en-US" w:eastAsia="zh-CN"/>
        </w:rPr>
      </w:pPr>
      <w:r>
        <w:rPr>
          <w:rFonts w:hint="eastAsia" w:ascii="宋体" w:hAnsi="宋体"/>
          <w:b/>
          <w:sz w:val="30"/>
          <w:szCs w:val="30"/>
        </w:rPr>
        <w:t>招标编号：</w:t>
      </w:r>
      <w:r>
        <w:rPr>
          <w:rFonts w:hint="eastAsia" w:ascii="宋体" w:hAnsi="宋体"/>
          <w:b/>
          <w:color w:val="FF0000"/>
          <w:sz w:val="30"/>
          <w:szCs w:val="30"/>
        </w:rPr>
        <w:t>ZDHBZB（货物）-2021-0</w:t>
      </w:r>
      <w:r>
        <w:rPr>
          <w:rFonts w:hint="eastAsia" w:ascii="宋体" w:hAnsi="宋体"/>
          <w:b/>
          <w:color w:val="FF0000"/>
          <w:sz w:val="30"/>
          <w:szCs w:val="30"/>
          <w:lang w:val="en-US" w:eastAsia="zh-CN"/>
        </w:rPr>
        <w:t>11</w:t>
      </w:r>
    </w:p>
    <w:p>
      <w:pPr>
        <w:spacing w:after="120" w:line="360" w:lineRule="atLeast"/>
        <w:ind w:firstLine="2240" w:firstLineChars="700"/>
        <w:rPr>
          <w:rFonts w:ascii="宋体" w:cs="宋体"/>
          <w:b/>
          <w:sz w:val="32"/>
          <w:szCs w:val="32"/>
        </w:rPr>
      </w:pPr>
    </w:p>
    <w:p>
      <w:pPr>
        <w:spacing w:after="120" w:line="360" w:lineRule="atLeast"/>
        <w:jc w:val="center"/>
        <w:rPr>
          <w:rFonts w:ascii="宋体" w:cs="宋体"/>
          <w:b/>
          <w:sz w:val="32"/>
          <w:szCs w:val="32"/>
        </w:rPr>
      </w:pPr>
    </w:p>
    <w:p>
      <w:pPr>
        <w:spacing w:after="120" w:line="360" w:lineRule="atLeast"/>
        <w:jc w:val="center"/>
        <w:rPr>
          <w:rFonts w:ascii="宋体" w:cs="宋体"/>
          <w:b/>
          <w:sz w:val="32"/>
          <w:szCs w:val="32"/>
        </w:rPr>
      </w:pPr>
    </w:p>
    <w:p>
      <w:pPr>
        <w:spacing w:line="480" w:lineRule="auto"/>
        <w:ind w:firstLine="846" w:firstLineChars="282"/>
        <w:rPr>
          <w:rFonts w:ascii="宋体"/>
          <w:b/>
          <w:sz w:val="30"/>
          <w:szCs w:val="30"/>
        </w:rPr>
      </w:pPr>
      <w:r>
        <w:rPr>
          <w:rFonts w:hint="eastAsia" w:ascii="宋体" w:hAnsi="宋体"/>
          <w:b/>
          <w:sz w:val="30"/>
          <w:szCs w:val="30"/>
        </w:rPr>
        <w:t>招标人：</w:t>
      </w:r>
      <w:r>
        <w:rPr>
          <w:rFonts w:hint="eastAsia" w:ascii="宋体" w:hAnsi="宋体"/>
          <w:b/>
          <w:sz w:val="30"/>
          <w:szCs w:val="30"/>
          <w:u w:val="single"/>
        </w:rPr>
        <w:t xml:space="preserve">中国地质工程集团有限公司  </w:t>
      </w:r>
      <w:r>
        <w:rPr>
          <w:rFonts w:hint="eastAsia" w:ascii="宋体" w:hAnsi="宋体"/>
          <w:b/>
          <w:sz w:val="30"/>
          <w:szCs w:val="30"/>
        </w:rPr>
        <w:t>（盖章）</w:t>
      </w:r>
    </w:p>
    <w:p>
      <w:pPr>
        <w:spacing w:after="120" w:line="360" w:lineRule="atLeast"/>
        <w:rPr>
          <w:rFonts w:ascii="宋体" w:hAnsi="宋体"/>
          <w:b/>
          <w:sz w:val="30"/>
          <w:szCs w:val="30"/>
        </w:rPr>
      </w:pPr>
    </w:p>
    <w:p>
      <w:pPr>
        <w:spacing w:after="120" w:line="360" w:lineRule="atLeast"/>
        <w:jc w:val="center"/>
        <w:rPr>
          <w:rFonts w:ascii="宋体" w:cs="宋体"/>
          <w:color w:val="FF0000"/>
          <w:sz w:val="24"/>
        </w:rPr>
      </w:pPr>
      <w:r>
        <w:rPr>
          <w:rFonts w:hint="eastAsia" w:ascii="宋体" w:hAnsi="宋体"/>
          <w:b/>
          <w:color w:val="FF0000"/>
          <w:sz w:val="30"/>
          <w:szCs w:val="30"/>
        </w:rPr>
        <w:t>二〇二一年</w:t>
      </w:r>
      <w:r>
        <w:rPr>
          <w:rFonts w:hint="eastAsia" w:ascii="宋体" w:hAnsi="宋体"/>
          <w:b/>
          <w:color w:val="FF0000"/>
          <w:sz w:val="30"/>
          <w:szCs w:val="30"/>
          <w:lang w:val="en-US" w:eastAsia="zh-CN"/>
        </w:rPr>
        <w:t>四</w:t>
      </w:r>
      <w:r>
        <w:rPr>
          <w:rFonts w:hint="eastAsia" w:ascii="宋体" w:hAnsi="宋体"/>
          <w:b/>
          <w:color w:val="FF0000"/>
          <w:sz w:val="30"/>
          <w:szCs w:val="30"/>
        </w:rPr>
        <w:t>月</w:t>
      </w:r>
    </w:p>
    <w:p>
      <w:pPr>
        <w:spacing w:after="120" w:line="360" w:lineRule="atLeast"/>
        <w:jc w:val="center"/>
        <w:rPr>
          <w:rFonts w:ascii="宋体" w:hAnsi="宋体" w:cs="宋体"/>
          <w:b/>
          <w:sz w:val="24"/>
        </w:rPr>
      </w:pPr>
    </w:p>
    <w:p>
      <w:pPr>
        <w:spacing w:after="120" w:line="360" w:lineRule="atLeast"/>
        <w:jc w:val="center"/>
        <w:rPr>
          <w:rFonts w:ascii="宋体" w:hAnsi="宋体" w:cs="宋体"/>
          <w:b/>
          <w:strike/>
          <w:sz w:val="24"/>
        </w:rPr>
      </w:pPr>
    </w:p>
    <w:p>
      <w:pPr>
        <w:spacing w:after="120" w:line="360" w:lineRule="atLeast"/>
        <w:jc w:val="center"/>
        <w:rPr>
          <w:rFonts w:ascii="宋体" w:cs="宋体"/>
          <w:b/>
          <w:sz w:val="24"/>
        </w:rPr>
      </w:pPr>
      <w:r>
        <w:rPr>
          <w:rFonts w:hint="eastAsia" w:ascii="宋体" w:hAnsi="宋体" w:cs="宋体"/>
          <w:b/>
          <w:sz w:val="24"/>
        </w:rPr>
        <w:t>目录</w:t>
      </w:r>
    </w:p>
    <w:p>
      <w:pPr>
        <w:spacing w:after="120" w:line="360" w:lineRule="atLeast"/>
        <w:jc w:val="center"/>
        <w:rPr>
          <w:rFonts w:ascii="宋体" w:cs="宋体"/>
          <w:b/>
          <w:sz w:val="24"/>
        </w:rPr>
      </w:pPr>
    </w:p>
    <w:p>
      <w:pPr>
        <w:pStyle w:val="16"/>
        <w:tabs>
          <w:tab w:val="right" w:leader="dot" w:pos="8504"/>
        </w:tabs>
        <w:spacing w:line="36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fldChar w:fldCharType="begin"/>
      </w:r>
      <w:r>
        <w:instrText xml:space="preserve"> HYPERLINK \l "_Toc17938"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_Toc17938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504"/>
        </w:tabs>
        <w:spacing w:line="360" w:lineRule="auto"/>
        <w:rPr>
          <w:rFonts w:ascii="宋体" w:hAnsi="宋体" w:cs="宋体"/>
          <w:sz w:val="24"/>
          <w:szCs w:val="24"/>
        </w:rPr>
      </w:pPr>
      <w:r>
        <w:fldChar w:fldCharType="begin"/>
      </w:r>
      <w:r>
        <w:instrText xml:space="preserve"> HYPERLINK \l "_Toc24186" </w:instrText>
      </w:r>
      <w:r>
        <w:fldChar w:fldCharType="separate"/>
      </w:r>
      <w:r>
        <w:rPr>
          <w:rFonts w:hint="eastAsia" w:ascii="宋体" w:hAnsi="宋体" w:cs="宋体"/>
          <w:bCs/>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_Toc24186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ind w:left="420"/>
        <w:rPr>
          <w:rFonts w:ascii="宋体" w:hAnsi="宋体" w:cs="宋体"/>
          <w:sz w:val="24"/>
          <w:szCs w:val="24"/>
        </w:rPr>
      </w:pPr>
      <w:r>
        <w:fldChar w:fldCharType="begin"/>
      </w:r>
      <w:r>
        <w:instrText xml:space="preserve"> HYPERLINK \l "_Toc4189" </w:instrText>
      </w:r>
      <w:r>
        <w:fldChar w:fldCharType="separate"/>
      </w:r>
      <w:r>
        <w:rPr>
          <w:rFonts w:hint="eastAsia" w:ascii="宋体" w:hAnsi="宋体" w:cs="宋体"/>
          <w:bCs/>
          <w:sz w:val="24"/>
          <w:szCs w:val="24"/>
        </w:rPr>
        <w:t>投标人须知前附表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_Toc4189 </w:instrText>
      </w:r>
      <w:r>
        <w:rPr>
          <w:rFonts w:hint="eastAsia" w:ascii="宋体" w:hAnsi="宋体" w:cs="宋体"/>
          <w:sz w:val="24"/>
          <w:szCs w:val="24"/>
        </w:rPr>
        <w:fldChar w:fldCharType="separate"/>
      </w:r>
      <w:r>
        <w:rPr>
          <w:rFonts w:hint="eastAsia" w:ascii="宋体" w:hAnsi="宋体" w:cs="宋体"/>
          <w:sz w:val="24"/>
          <w:szCs w:val="24"/>
        </w:rPr>
        <w:t>- 6 -</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ind w:left="420"/>
        <w:rPr>
          <w:rFonts w:ascii="宋体" w:hAnsi="宋体" w:cs="宋体"/>
          <w:sz w:val="24"/>
          <w:szCs w:val="24"/>
        </w:rPr>
      </w:pPr>
      <w:r>
        <w:fldChar w:fldCharType="begin"/>
      </w:r>
      <w:r>
        <w:instrText xml:space="preserve"> HYPERLINK \l "_Toc15360" </w:instrText>
      </w:r>
      <w:r>
        <w:fldChar w:fldCharType="separate"/>
      </w:r>
      <w:r>
        <w:rPr>
          <w:rFonts w:hint="eastAsia" w:ascii="宋体" w:hAnsi="宋体" w:cs="宋体"/>
          <w:bCs/>
          <w:sz w:val="24"/>
          <w:szCs w:val="24"/>
        </w:rPr>
        <w:t>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_Toc15360 </w:instrText>
      </w:r>
      <w:r>
        <w:rPr>
          <w:rFonts w:hint="eastAsia" w:ascii="宋体" w:hAnsi="宋体" w:cs="宋体"/>
          <w:sz w:val="24"/>
          <w:szCs w:val="24"/>
        </w:rPr>
        <w:fldChar w:fldCharType="separate"/>
      </w:r>
      <w:r>
        <w:rPr>
          <w:rFonts w:hint="eastAsia" w:ascii="宋体" w:hAnsi="宋体" w:cs="宋体"/>
          <w:sz w:val="24"/>
          <w:szCs w:val="24"/>
        </w:rPr>
        <w:t>- 10 -</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504"/>
        </w:tabs>
        <w:spacing w:line="36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_Toc32110 </w:instrText>
      </w:r>
      <w:r>
        <w:rPr>
          <w:rFonts w:hint="eastAsia" w:ascii="宋体" w:hAnsi="宋体" w:cs="宋体"/>
          <w:sz w:val="24"/>
          <w:szCs w:val="24"/>
        </w:rPr>
        <w:fldChar w:fldCharType="separate"/>
      </w:r>
      <w:r>
        <w:rPr>
          <w:rFonts w:hint="eastAsia" w:ascii="宋体" w:hAnsi="宋体" w:cs="宋体"/>
          <w:sz w:val="24"/>
          <w:szCs w:val="24"/>
        </w:rPr>
        <w:t>第三章  评标办法（</w:t>
      </w:r>
      <w:r>
        <w:rPr>
          <w:rFonts w:hint="eastAsia" w:ascii="宋体" w:hAnsi="宋体" w:cs="宋体"/>
          <w:kern w:val="0"/>
          <w:sz w:val="24"/>
          <w:szCs w:val="24"/>
        </w:rPr>
        <w:t>经评审的最低投标价法</w:t>
      </w:r>
      <w:r>
        <w:rPr>
          <w:rFonts w:hint="eastAsia" w:ascii="宋体" w:hAnsi="宋体" w:cs="宋体"/>
          <w:sz w:val="24"/>
          <w:szCs w:val="24"/>
        </w:rPr>
        <w:t>）</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_Toc32110 </w:instrText>
      </w:r>
      <w:r>
        <w:rPr>
          <w:rFonts w:hint="eastAsia" w:ascii="宋体" w:hAnsi="宋体" w:cs="宋体"/>
          <w:sz w:val="24"/>
          <w:szCs w:val="24"/>
        </w:rPr>
        <w:fldChar w:fldCharType="separate"/>
      </w:r>
      <w:r>
        <w:rPr>
          <w:rFonts w:hint="eastAsia" w:ascii="宋体" w:hAnsi="宋体" w:cs="宋体"/>
          <w:sz w:val="24"/>
          <w:szCs w:val="24"/>
        </w:rPr>
        <w:t>- 16 -</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504"/>
        </w:tabs>
        <w:spacing w:line="360" w:lineRule="auto"/>
        <w:rPr>
          <w:rFonts w:ascii="宋体" w:hAnsi="宋体" w:cs="宋体"/>
          <w:sz w:val="24"/>
          <w:szCs w:val="24"/>
        </w:rPr>
      </w:pPr>
      <w:r>
        <w:fldChar w:fldCharType="begin"/>
      </w:r>
      <w:r>
        <w:instrText xml:space="preserve"> HYPERLINK \l "_Toc26684" </w:instrText>
      </w:r>
      <w:r>
        <w:fldChar w:fldCharType="separate"/>
      </w:r>
      <w:r>
        <w:rPr>
          <w:rFonts w:hint="eastAsia" w:ascii="宋体" w:hAnsi="宋体" w:cs="宋体"/>
          <w:bCs/>
          <w:sz w:val="24"/>
          <w:szCs w:val="24"/>
        </w:rPr>
        <w:t>第四章  招标人需求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_Toc26684 </w:instrText>
      </w:r>
      <w:r>
        <w:rPr>
          <w:rFonts w:hint="eastAsia" w:ascii="宋体" w:hAnsi="宋体" w:cs="宋体"/>
          <w:sz w:val="24"/>
          <w:szCs w:val="24"/>
        </w:rPr>
        <w:fldChar w:fldCharType="separate"/>
      </w:r>
      <w:r>
        <w:rPr>
          <w:rFonts w:hint="eastAsia" w:ascii="宋体" w:hAnsi="宋体" w:cs="宋体"/>
          <w:sz w:val="24"/>
          <w:szCs w:val="24"/>
        </w:rPr>
        <w:t>- 19 -</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504"/>
        </w:tabs>
        <w:spacing w:line="360" w:lineRule="auto"/>
        <w:rPr>
          <w:rFonts w:ascii="宋体" w:hAnsi="宋体" w:cs="宋体"/>
          <w:sz w:val="24"/>
          <w:szCs w:val="24"/>
        </w:rPr>
      </w:pPr>
      <w:r>
        <w:fldChar w:fldCharType="begin"/>
      </w:r>
      <w:r>
        <w:instrText xml:space="preserve"> HYPERLINK \l "_Toc25677" </w:instrText>
      </w:r>
      <w:r>
        <w:fldChar w:fldCharType="separate"/>
      </w:r>
      <w:r>
        <w:rPr>
          <w:rFonts w:hint="eastAsia" w:ascii="宋体" w:hAnsi="宋体" w:cs="宋体"/>
          <w:bCs/>
          <w:sz w:val="24"/>
          <w:szCs w:val="24"/>
        </w:rPr>
        <w:t>第五章  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_Toc25677 </w:instrText>
      </w:r>
      <w:r>
        <w:rPr>
          <w:rFonts w:hint="eastAsia" w:ascii="宋体" w:hAnsi="宋体" w:cs="宋体"/>
          <w:sz w:val="24"/>
          <w:szCs w:val="24"/>
        </w:rPr>
        <w:fldChar w:fldCharType="separate"/>
      </w:r>
      <w:r>
        <w:rPr>
          <w:rFonts w:hint="eastAsia" w:ascii="宋体" w:hAnsi="宋体" w:cs="宋体"/>
          <w:sz w:val="24"/>
          <w:szCs w:val="24"/>
        </w:rPr>
        <w:t>- 22 -</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504"/>
        </w:tabs>
        <w:spacing w:line="360" w:lineRule="auto"/>
        <w:rPr>
          <w:rFonts w:ascii="宋体" w:hAnsi="宋体" w:cs="宋体"/>
          <w:sz w:val="24"/>
          <w:szCs w:val="24"/>
        </w:rPr>
      </w:pPr>
      <w:r>
        <w:fldChar w:fldCharType="begin"/>
      </w:r>
      <w:r>
        <w:instrText xml:space="preserve"> HYPERLINK \l "_Toc11951" </w:instrText>
      </w:r>
      <w:r>
        <w:fldChar w:fldCharType="separate"/>
      </w:r>
      <w:r>
        <w:rPr>
          <w:rFonts w:hint="eastAsia" w:ascii="宋体" w:hAnsi="宋体" w:cs="宋体"/>
          <w:bCs/>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_Toc11951 </w:instrText>
      </w:r>
      <w:r>
        <w:rPr>
          <w:rFonts w:hint="eastAsia" w:ascii="宋体" w:hAnsi="宋体" w:cs="宋体"/>
          <w:sz w:val="24"/>
          <w:szCs w:val="24"/>
        </w:rPr>
        <w:fldChar w:fldCharType="separate"/>
      </w:r>
      <w:r>
        <w:rPr>
          <w:rFonts w:hint="eastAsia" w:ascii="宋体" w:hAnsi="宋体" w:cs="宋体"/>
          <w:sz w:val="24"/>
          <w:szCs w:val="24"/>
        </w:rPr>
        <w:t>- 23 -</w:t>
      </w:r>
      <w:r>
        <w:rPr>
          <w:rFonts w:hint="eastAsia" w:ascii="宋体" w:hAnsi="宋体" w:cs="宋体"/>
          <w:sz w:val="24"/>
          <w:szCs w:val="24"/>
        </w:rPr>
        <w:fldChar w:fldCharType="end"/>
      </w:r>
      <w:r>
        <w:rPr>
          <w:rFonts w:hint="eastAsia" w:ascii="宋体" w:hAnsi="宋体" w:cs="宋体"/>
          <w:sz w:val="24"/>
          <w:szCs w:val="24"/>
        </w:rPr>
        <w:fldChar w:fldCharType="end"/>
      </w:r>
    </w:p>
    <w:p>
      <w:pPr>
        <w:spacing w:line="360" w:lineRule="auto"/>
        <w:rPr>
          <w:rFonts w:ascii="宋体" w:cs="宋体"/>
          <w:sz w:val="24"/>
        </w:rPr>
        <w:sectPr>
          <w:headerReference r:id="rId4" w:type="first"/>
          <w:headerReference r:id="rId3" w:type="default"/>
          <w:footerReference r:id="rId5" w:type="default"/>
          <w:pgSz w:w="11906" w:h="16838"/>
          <w:pgMar w:top="1440" w:right="1701" w:bottom="1440" w:left="1701" w:header="851" w:footer="992" w:gutter="0"/>
          <w:pgNumType w:fmt="numberInDash" w:start="1"/>
          <w:cols w:space="720" w:num="1"/>
          <w:titlePg/>
          <w:docGrid w:type="linesAndChars" w:linePitch="380" w:charSpace="0"/>
        </w:sectPr>
      </w:pPr>
      <w:r>
        <w:rPr>
          <w:rFonts w:hint="eastAsia" w:ascii="宋体" w:hAnsi="宋体" w:cs="宋体"/>
          <w:sz w:val="24"/>
        </w:rPr>
        <w:fldChar w:fldCharType="end"/>
      </w:r>
    </w:p>
    <w:p>
      <w:pPr>
        <w:pStyle w:val="2"/>
        <w:spacing w:before="0" w:after="0" w:line="360" w:lineRule="auto"/>
        <w:jc w:val="center"/>
        <w:rPr>
          <w:sz w:val="28"/>
          <w:szCs w:val="28"/>
        </w:rPr>
      </w:pPr>
      <w:bookmarkStart w:id="0" w:name="_Toc447265211"/>
      <w:bookmarkStart w:id="1" w:name="_Toc447188662"/>
      <w:bookmarkStart w:id="2" w:name="_Toc17938"/>
      <w:bookmarkStart w:id="3" w:name="_Toc447265497"/>
      <w:bookmarkStart w:id="4" w:name="_Toc16175981"/>
      <w:bookmarkStart w:id="5" w:name="_Toc447265797"/>
      <w:r>
        <w:rPr>
          <w:rFonts w:hint="eastAsia"/>
          <w:sz w:val="28"/>
          <w:szCs w:val="28"/>
        </w:rPr>
        <w:t>第一章招标公告</w:t>
      </w:r>
      <w:bookmarkEnd w:id="0"/>
      <w:bookmarkEnd w:id="1"/>
      <w:bookmarkEnd w:id="2"/>
      <w:bookmarkEnd w:id="3"/>
      <w:bookmarkEnd w:id="4"/>
      <w:bookmarkEnd w:id="5"/>
    </w:p>
    <w:p>
      <w:pPr>
        <w:pStyle w:val="12"/>
        <w:shd w:val="clear" w:color="auto" w:fill="FFFFFF"/>
        <w:spacing w:before="0" w:beforeAutospacing="0" w:after="0" w:afterAutospacing="0" w:line="360" w:lineRule="auto"/>
        <w:ind w:firstLine="480" w:firstLineChars="200"/>
        <w:rPr>
          <w:rFonts w:ascii="华文中宋" w:hAnsi="华文中宋" w:eastAsia="华文中宋" w:cs="华文中宋"/>
        </w:rPr>
      </w:pPr>
      <w:bookmarkStart w:id="6" w:name="_Toc24186"/>
      <w:bookmarkStart w:id="7" w:name="_Toc16175982"/>
      <w:bookmarkStart w:id="8" w:name="_Toc447265500"/>
      <w:bookmarkStart w:id="9" w:name="_Toc447188665"/>
      <w:bookmarkStart w:id="10" w:name="_Toc447265214"/>
      <w:r>
        <w:rPr>
          <w:rFonts w:hint="eastAsia" w:ascii="华文中宋" w:hAnsi="华文中宋" w:eastAsia="华文中宋" w:cs="华文中宋"/>
        </w:rPr>
        <w:t>本招标项目为</w:t>
      </w:r>
      <w:r>
        <w:rPr>
          <w:rFonts w:hint="eastAsia" w:ascii="华文中宋" w:hAnsi="华文中宋" w:eastAsia="华文中宋" w:cs="华文中宋"/>
          <w:lang w:val="en-US" w:eastAsia="zh-CN"/>
        </w:rPr>
        <w:t>江西省</w:t>
      </w:r>
      <w:r>
        <w:rPr>
          <w:rFonts w:hint="eastAsia" w:ascii="华文中宋" w:hAnsi="华文中宋" w:eastAsia="华文中宋" w:cs="华文中宋"/>
        </w:rPr>
        <w:t>新余市</w:t>
      </w:r>
      <w:r>
        <w:rPr>
          <w:rFonts w:hint="eastAsia" w:ascii="华文中宋" w:hAnsi="华文中宋" w:eastAsia="华文中宋" w:cs="华文中宋"/>
          <w:lang w:val="en-US" w:eastAsia="zh-CN"/>
        </w:rPr>
        <w:t>两江</w:t>
      </w:r>
      <w:r>
        <w:rPr>
          <w:rFonts w:hint="eastAsia" w:ascii="华文中宋" w:hAnsi="华文中宋" w:eastAsia="华文中宋" w:cs="华文中宋"/>
        </w:rPr>
        <w:t>黑臭水体整治工程项目雨污分流器采购，招标编号：ZDHBZB（货物）-2021-0</w:t>
      </w:r>
      <w:r>
        <w:rPr>
          <w:rFonts w:hint="eastAsia" w:ascii="华文中宋" w:hAnsi="华文中宋" w:eastAsia="华文中宋" w:cs="华文中宋"/>
          <w:lang w:val="en-US" w:eastAsia="zh-CN"/>
        </w:rPr>
        <w:t>11</w:t>
      </w:r>
      <w:r>
        <w:rPr>
          <w:rFonts w:hint="eastAsia" w:ascii="华文中宋" w:hAnsi="华文中宋" w:eastAsia="华文中宋" w:cs="华文中宋"/>
        </w:rPr>
        <w:t>，招标人为中国地质工程集团有限公司，资金已落实。项目已具备招标条件，现进行公开招标。</w:t>
      </w:r>
    </w:p>
    <w:tbl>
      <w:tblPr>
        <w:tblStyle w:val="14"/>
        <w:tblW w:w="0" w:type="auto"/>
        <w:tblInd w:w="150" w:type="dxa"/>
        <w:tblLayout w:type="fixed"/>
        <w:tblCellMar>
          <w:top w:w="15" w:type="dxa"/>
          <w:left w:w="15" w:type="dxa"/>
          <w:bottom w:w="15" w:type="dxa"/>
          <w:right w:w="15" w:type="dxa"/>
        </w:tblCellMar>
      </w:tblPr>
      <w:tblGrid>
        <w:gridCol w:w="8156"/>
      </w:tblGrid>
      <w:tr>
        <w:tc>
          <w:tcPr>
            <w:tcW w:w="8156" w:type="dxa"/>
            <w:noWrap/>
            <w:tcMar>
              <w:top w:w="0" w:type="dxa"/>
              <w:left w:w="0" w:type="dxa"/>
              <w:bottom w:w="0" w:type="dxa"/>
              <w:right w:w="0" w:type="dxa"/>
            </w:tcMar>
            <w:vAlign w:val="center"/>
          </w:tcPr>
          <w:p>
            <w:pPr>
              <w:spacing w:after="120" w:line="360" w:lineRule="auto"/>
              <w:rPr>
                <w:rFonts w:ascii="华文中宋" w:hAnsi="华文中宋" w:eastAsia="华文中宋" w:cs="华文中宋"/>
                <w:kern w:val="0"/>
                <w:sz w:val="24"/>
              </w:rPr>
            </w:pPr>
            <w:r>
              <w:rPr>
                <w:rFonts w:hint="eastAsia" w:ascii="华文中宋" w:hAnsi="华文中宋" w:eastAsia="华文中宋" w:cs="华文中宋"/>
                <w:kern w:val="0"/>
                <w:sz w:val="24"/>
              </w:rPr>
              <w:t>一、项目名称：</w:t>
            </w:r>
            <w:r>
              <w:rPr>
                <w:rFonts w:hint="eastAsia" w:ascii="华文中宋" w:hAnsi="华文中宋" w:eastAsia="华文中宋" w:cs="华文中宋"/>
                <w:kern w:val="0"/>
                <w:sz w:val="24"/>
                <w:lang w:val="en-US" w:eastAsia="zh-CN"/>
              </w:rPr>
              <w:t>江西省</w:t>
            </w:r>
            <w:r>
              <w:rPr>
                <w:rFonts w:hint="eastAsia" w:ascii="华文中宋" w:hAnsi="华文中宋" w:eastAsia="华文中宋" w:cs="华文中宋"/>
                <w:kern w:val="0"/>
                <w:sz w:val="24"/>
              </w:rPr>
              <w:t>新余市</w:t>
            </w:r>
            <w:r>
              <w:rPr>
                <w:rFonts w:hint="eastAsia" w:ascii="华文中宋" w:hAnsi="华文中宋" w:eastAsia="华文中宋" w:cs="华文中宋"/>
                <w:kern w:val="0"/>
                <w:sz w:val="24"/>
                <w:lang w:val="en-US" w:eastAsia="zh-CN"/>
              </w:rPr>
              <w:t>两江</w:t>
            </w:r>
            <w:r>
              <w:rPr>
                <w:rFonts w:hint="eastAsia" w:ascii="华文中宋" w:hAnsi="华文中宋" w:eastAsia="华文中宋" w:cs="华文中宋"/>
                <w:kern w:val="0"/>
                <w:sz w:val="24"/>
              </w:rPr>
              <w:t>黑臭水体整治工程项目</w:t>
            </w:r>
            <w:bookmarkStart w:id="11" w:name="_Hlk50021140"/>
            <w:r>
              <w:rPr>
                <w:rFonts w:hint="eastAsia" w:ascii="华文中宋" w:hAnsi="华文中宋" w:eastAsia="华文中宋" w:cs="华文中宋"/>
                <w:kern w:val="0"/>
                <w:sz w:val="24"/>
              </w:rPr>
              <w:t>楼宇雨污分流器</w:t>
            </w:r>
            <w:bookmarkEnd w:id="11"/>
            <w:r>
              <w:rPr>
                <w:rFonts w:hint="eastAsia" w:ascii="华文中宋" w:hAnsi="华文中宋" w:eastAsia="华文中宋" w:cs="华文中宋"/>
                <w:kern w:val="0"/>
                <w:sz w:val="24"/>
              </w:rPr>
              <w:t>采购</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hint="default" w:ascii="华文中宋" w:hAnsi="华文中宋" w:eastAsia="华文中宋" w:cs="华文中宋"/>
                <w:kern w:val="0"/>
                <w:sz w:val="24"/>
                <w:lang w:val="en-US" w:eastAsia="zh-CN"/>
              </w:rPr>
            </w:pPr>
            <w:r>
              <w:rPr>
                <w:rFonts w:hint="eastAsia" w:ascii="华文中宋" w:hAnsi="华文中宋" w:eastAsia="华文中宋" w:cs="华文中宋"/>
                <w:kern w:val="0"/>
                <w:sz w:val="24"/>
              </w:rPr>
              <w:t>二、项目编号：ZDHBZB（货物）-2021-0</w:t>
            </w:r>
            <w:r>
              <w:rPr>
                <w:rFonts w:hint="eastAsia" w:ascii="华文中宋" w:hAnsi="华文中宋" w:eastAsia="华文中宋" w:cs="华文中宋"/>
                <w:kern w:val="0"/>
                <w:sz w:val="24"/>
                <w:lang w:val="en-US" w:eastAsia="zh-CN"/>
              </w:rPr>
              <w:t>11</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三、采购方式：公开招标</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四、采购人（采购组织人）：中国地质工程集团有限公司</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五、代理机构：无</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六、所属项目名称：</w:t>
            </w:r>
            <w:r>
              <w:rPr>
                <w:rFonts w:hint="eastAsia" w:ascii="华文中宋" w:hAnsi="华文中宋" w:eastAsia="华文中宋" w:cs="华文中宋"/>
                <w:kern w:val="0"/>
                <w:sz w:val="24"/>
                <w:lang w:val="en-US" w:eastAsia="zh-CN"/>
              </w:rPr>
              <w:t>江西省</w:t>
            </w:r>
            <w:r>
              <w:rPr>
                <w:rFonts w:hint="eastAsia" w:ascii="华文中宋" w:hAnsi="华文中宋" w:eastAsia="华文中宋" w:cs="华文中宋"/>
                <w:kern w:val="0"/>
                <w:sz w:val="24"/>
              </w:rPr>
              <w:t>新余市</w:t>
            </w:r>
            <w:r>
              <w:rPr>
                <w:rFonts w:hint="eastAsia" w:ascii="华文中宋" w:hAnsi="华文中宋" w:eastAsia="华文中宋" w:cs="华文中宋"/>
                <w:kern w:val="0"/>
                <w:sz w:val="24"/>
                <w:lang w:val="en-US" w:eastAsia="zh-CN"/>
              </w:rPr>
              <w:t>两江</w:t>
            </w:r>
            <w:r>
              <w:rPr>
                <w:rFonts w:hint="eastAsia" w:ascii="华文中宋" w:hAnsi="华文中宋" w:eastAsia="华文中宋" w:cs="华文中宋"/>
                <w:kern w:val="0"/>
                <w:sz w:val="24"/>
              </w:rPr>
              <w:t>黑臭水体整治工程项目</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七、项目概况：</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  （一）资金来源：100%自有资金</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numPr>
                <w:ilvl w:val="0"/>
                <w:numId w:val="1"/>
              </w:numPr>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项目建设规模：无</w:t>
            </w:r>
          </w:p>
          <w:p>
            <w:pPr>
              <w:widowControl/>
              <w:numPr>
                <w:ilvl w:val="0"/>
                <w:numId w:val="1"/>
              </w:numPr>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采购标段划分：不分标段</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八、采购货物内容与数量：楼宇雨污分流器，数量详见附件。</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九、采购货物主要技术规格要求：符合国家现行有关施工质量验收规范标准，详见附件。</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十、采购货物交货期（工期）要求：按需发货，定期结算</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十一、采购货物交付地点：项目所在地</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十二、对供应商的资格要求：</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  （一）本项目不接受联合体参与。</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  （二）其他资格要求：</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十三、资格审查方式：</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pStyle w:val="6"/>
              <w:spacing w:line="360" w:lineRule="auto"/>
              <w:ind w:firstLine="480" w:firstLineChars="200"/>
              <w:rPr>
                <w:rFonts w:ascii="华文中宋" w:hAnsi="华文中宋" w:eastAsia="华文中宋" w:cs="华文中宋"/>
                <w:sz w:val="24"/>
              </w:rPr>
            </w:pPr>
            <w:r>
              <w:rPr>
                <w:rFonts w:hint="eastAsia" w:ascii="华文中宋" w:hAnsi="华文中宋" w:eastAsia="华文中宋" w:cs="华文中宋"/>
                <w:sz w:val="24"/>
                <w:szCs w:val="24"/>
              </w:rPr>
              <w:t>（一）参加投标的企业必须具有独立法人资格，且经过2020年工商年检。</w:t>
            </w:r>
          </w:p>
          <w:p>
            <w:pPr>
              <w:spacing w:line="360" w:lineRule="auto"/>
              <w:ind w:firstLine="480" w:firstLineChars="200"/>
              <w:rPr>
                <w:rFonts w:ascii="华文中宋" w:hAnsi="华文中宋" w:eastAsia="华文中宋" w:cs="华文中宋"/>
                <w:kern w:val="0"/>
                <w:sz w:val="24"/>
              </w:rPr>
            </w:pPr>
            <w:r>
              <w:rPr>
                <w:rFonts w:hint="eastAsia" w:ascii="华文中宋" w:hAnsi="华文中宋" w:eastAsia="华文中宋" w:cs="华文中宋"/>
                <w:kern w:val="0"/>
                <w:sz w:val="24"/>
              </w:rPr>
              <w:t>（二）参加投标的企业</w:t>
            </w:r>
            <w:r>
              <w:rPr>
                <w:rFonts w:hint="eastAsia" w:ascii="华文中宋" w:hAnsi="华文中宋" w:eastAsia="华文中宋" w:cs="华文中宋"/>
                <w:kern w:val="0"/>
                <w:sz w:val="24"/>
                <w:lang w:val="en-US" w:eastAsia="zh-CN"/>
              </w:rPr>
              <w:t>可</w:t>
            </w:r>
            <w:r>
              <w:rPr>
                <w:rFonts w:hint="eastAsia" w:ascii="华文中宋" w:hAnsi="华文中宋" w:eastAsia="华文中宋" w:cs="华文中宋"/>
                <w:kern w:val="0"/>
                <w:sz w:val="24"/>
              </w:rPr>
              <w:t>为生产厂家、生产厂家办事处或生产厂家的区域、地区代理，如参加投标的企业为代理，需提供生产厂家的营业执照复印件（加盖公章）、授权文件等资料。</w:t>
            </w:r>
          </w:p>
          <w:p>
            <w:pPr>
              <w:spacing w:line="360" w:lineRule="auto"/>
              <w:ind w:firstLine="480" w:firstLineChars="200"/>
              <w:rPr>
                <w:rFonts w:ascii="华文中宋" w:hAnsi="华文中宋" w:eastAsia="华文中宋" w:cs="华文中宋"/>
                <w:kern w:val="0"/>
                <w:sz w:val="24"/>
              </w:rPr>
            </w:pPr>
            <w:r>
              <w:rPr>
                <w:rFonts w:hint="eastAsia" w:ascii="华文中宋" w:hAnsi="华文中宋" w:eastAsia="华文中宋" w:cs="华文中宋"/>
                <w:kern w:val="0"/>
                <w:sz w:val="24"/>
              </w:rPr>
              <w:t>（三）投标人提供的营业执照原始复印件，此证件必须加盖公章及法人代表授权代表的签章方能有效。</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十四、采购文件的获取：</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  （一）采购文件获取截止时间：2021年</w:t>
            </w:r>
            <w:r>
              <w:rPr>
                <w:rFonts w:hint="eastAsia" w:ascii="华文中宋" w:hAnsi="华文中宋" w:eastAsia="华文中宋" w:cs="华文中宋"/>
                <w:kern w:val="0"/>
                <w:sz w:val="24"/>
                <w:lang w:val="en-US" w:eastAsia="zh-CN"/>
              </w:rPr>
              <w:t>4</w:t>
            </w:r>
            <w:r>
              <w:rPr>
                <w:rFonts w:hint="eastAsia" w:ascii="华文中宋" w:hAnsi="华文中宋" w:eastAsia="华文中宋" w:cs="华文中宋"/>
                <w:kern w:val="0"/>
                <w:sz w:val="24"/>
              </w:rPr>
              <w:t>月</w:t>
            </w:r>
            <w:r>
              <w:rPr>
                <w:rFonts w:hint="eastAsia" w:ascii="华文中宋" w:hAnsi="华文中宋" w:eastAsia="华文中宋" w:cs="华文中宋"/>
                <w:kern w:val="0"/>
                <w:sz w:val="24"/>
                <w:lang w:val="en-US" w:eastAsia="zh-CN"/>
              </w:rPr>
              <w:t>7</w:t>
            </w:r>
            <w:r>
              <w:rPr>
                <w:rFonts w:hint="eastAsia" w:ascii="华文中宋" w:hAnsi="华文中宋" w:eastAsia="华文中宋" w:cs="华文中宋"/>
                <w:kern w:val="0"/>
                <w:sz w:val="24"/>
              </w:rPr>
              <w:t>日</w:t>
            </w:r>
            <w:r>
              <w:rPr>
                <w:rFonts w:hint="eastAsia" w:ascii="华文中宋" w:hAnsi="华文中宋" w:eastAsia="华文中宋" w:cs="华文中宋"/>
                <w:kern w:val="0"/>
                <w:sz w:val="24"/>
                <w:lang w:val="en-US" w:eastAsia="zh-CN"/>
              </w:rPr>
              <w:t>9</w:t>
            </w:r>
            <w:r>
              <w:rPr>
                <w:rFonts w:hint="eastAsia" w:ascii="华文中宋" w:hAnsi="华文中宋" w:eastAsia="华文中宋" w:cs="华文中宋"/>
                <w:kern w:val="0"/>
                <w:sz w:val="24"/>
              </w:rPr>
              <w:t>时</w:t>
            </w:r>
            <w:r>
              <w:rPr>
                <w:rFonts w:hint="eastAsia" w:ascii="华文中宋" w:hAnsi="华文中宋" w:eastAsia="华文中宋" w:cs="华文中宋"/>
                <w:kern w:val="0"/>
                <w:sz w:val="24"/>
                <w:lang w:val="en-US" w:eastAsia="zh-CN"/>
              </w:rPr>
              <w:t>00</w:t>
            </w:r>
            <w:r>
              <w:rPr>
                <w:rFonts w:hint="eastAsia" w:ascii="华文中宋" w:hAnsi="华文中宋" w:eastAsia="华文中宋" w:cs="华文中宋"/>
                <w:kern w:val="0"/>
                <w:sz w:val="24"/>
              </w:rPr>
              <w:t>分截止(法定节假日除外)</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  （二）采购文件获取方式：通过中国地质工程集团有限公司网站（http://www.chinageo.com.cn）直接下载采购文件。</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十五、响应文件的递交：</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  纸质版文件于投标截止日前递送至招标人地址；电子标书于投标截止日前发送至cgchbztb@126.com。超出投标截止时间递交的投标文件无效。</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十六、响应文件递交截止时间及开启方式：</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  （一）响应文件递交截止时间：2021年</w:t>
            </w:r>
            <w:r>
              <w:rPr>
                <w:rFonts w:hint="eastAsia" w:ascii="华文中宋" w:hAnsi="华文中宋" w:eastAsia="华文中宋" w:cs="华文中宋"/>
                <w:kern w:val="0"/>
                <w:sz w:val="24"/>
                <w:lang w:val="en-US" w:eastAsia="zh-CN"/>
              </w:rPr>
              <w:t>4</w:t>
            </w:r>
            <w:r>
              <w:rPr>
                <w:rFonts w:hint="eastAsia" w:ascii="华文中宋" w:hAnsi="华文中宋" w:eastAsia="华文中宋" w:cs="华文中宋"/>
                <w:kern w:val="0"/>
                <w:sz w:val="24"/>
              </w:rPr>
              <w:t>月</w:t>
            </w:r>
            <w:r>
              <w:rPr>
                <w:rFonts w:hint="eastAsia" w:ascii="华文中宋" w:hAnsi="华文中宋" w:eastAsia="华文中宋" w:cs="华文中宋"/>
                <w:kern w:val="0"/>
                <w:sz w:val="24"/>
                <w:lang w:val="en-US" w:eastAsia="zh-CN"/>
              </w:rPr>
              <w:t>13</w:t>
            </w:r>
            <w:r>
              <w:rPr>
                <w:rFonts w:hint="eastAsia" w:ascii="华文中宋" w:hAnsi="华文中宋" w:eastAsia="华文中宋" w:cs="华文中宋"/>
                <w:kern w:val="0"/>
                <w:sz w:val="24"/>
              </w:rPr>
              <w:t>日</w:t>
            </w:r>
            <w:r>
              <w:rPr>
                <w:rFonts w:hint="eastAsia" w:ascii="华文中宋" w:hAnsi="华文中宋" w:eastAsia="华文中宋" w:cs="华文中宋"/>
                <w:kern w:val="0"/>
                <w:sz w:val="24"/>
                <w:lang w:val="en-US" w:eastAsia="zh-CN"/>
              </w:rPr>
              <w:t>9</w:t>
            </w:r>
            <w:r>
              <w:rPr>
                <w:rFonts w:hint="eastAsia" w:ascii="华文中宋" w:hAnsi="华文中宋" w:eastAsia="华文中宋" w:cs="华文中宋"/>
                <w:kern w:val="0"/>
                <w:sz w:val="24"/>
              </w:rPr>
              <w:t>时</w:t>
            </w:r>
            <w:r>
              <w:rPr>
                <w:rFonts w:hint="eastAsia" w:ascii="华文中宋" w:hAnsi="华文中宋" w:eastAsia="华文中宋" w:cs="华文中宋"/>
                <w:kern w:val="0"/>
                <w:sz w:val="24"/>
                <w:lang w:val="en-US" w:eastAsia="zh-CN"/>
              </w:rPr>
              <w:t>00</w:t>
            </w:r>
            <w:r>
              <w:rPr>
                <w:rFonts w:hint="eastAsia" w:ascii="华文中宋" w:hAnsi="华文中宋" w:eastAsia="华文中宋" w:cs="华文中宋"/>
                <w:kern w:val="0"/>
                <w:sz w:val="24"/>
              </w:rPr>
              <w:t>分</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  （二）响应文件开启方式：线下开启</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十七、响应保证金：</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 xml:space="preserve">  投标保证金免收。 </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十八、公告发布媒介：</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  本公告通过中国地质工程集团有限公司网站（http://www.chinageo.com.cn/）对外公开发布。</w:t>
            </w:r>
          </w:p>
        </w:tc>
      </w:tr>
      <w:tr>
        <w:tblPrEx>
          <w:tblCellMar>
            <w:top w:w="15" w:type="dxa"/>
            <w:left w:w="15" w:type="dxa"/>
            <w:bottom w:w="15" w:type="dxa"/>
            <w:right w:w="15" w:type="dxa"/>
          </w:tblCellMar>
        </w:tblPrEx>
        <w:tc>
          <w:tcPr>
            <w:tcW w:w="8156" w:type="dxa"/>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十九、联系方式：</w:t>
            </w:r>
          </w:p>
        </w:tc>
      </w:tr>
    </w:tbl>
    <w:p>
      <w:pPr>
        <w:rPr>
          <w:rFonts w:ascii="华文中宋" w:hAnsi="华文中宋" w:eastAsia="华文中宋" w:cs="华文中宋"/>
          <w:kern w:val="0"/>
          <w:sz w:val="24"/>
        </w:rPr>
      </w:pPr>
    </w:p>
    <w:tbl>
      <w:tblPr>
        <w:tblStyle w:val="14"/>
        <w:tblW w:w="0" w:type="auto"/>
        <w:tblInd w:w="1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413"/>
        <w:gridCol w:w="57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13" w:type="dxa"/>
            <w:tcBorders>
              <w:top w:val="outset" w:color="auto" w:sz="6" w:space="0"/>
              <w:left w:val="outset" w:color="auto" w:sz="6" w:space="0"/>
              <w:bottom w:val="outset" w:color="auto" w:sz="6" w:space="0"/>
              <w:right w:val="outset" w:color="auto" w:sz="6" w:space="0"/>
            </w:tcBorders>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采购人:</w:t>
            </w:r>
          </w:p>
        </w:tc>
        <w:tc>
          <w:tcPr>
            <w:tcW w:w="5759" w:type="dxa"/>
            <w:tcBorders>
              <w:top w:val="outset" w:color="auto" w:sz="6" w:space="0"/>
              <w:left w:val="outset" w:color="auto" w:sz="6" w:space="0"/>
              <w:bottom w:val="outset" w:color="auto" w:sz="6" w:space="0"/>
              <w:right w:val="outset" w:color="auto" w:sz="6" w:space="0"/>
            </w:tcBorders>
            <w:noWrap/>
            <w:tcMar>
              <w:top w:w="0" w:type="dxa"/>
              <w:left w:w="0" w:type="dxa"/>
              <w:bottom w:w="0" w:type="dxa"/>
              <w:right w:w="0" w:type="dxa"/>
            </w:tcMar>
            <w:vAlign w:val="center"/>
          </w:tcPr>
          <w:p>
            <w:pPr>
              <w:spacing w:line="360" w:lineRule="auto"/>
              <w:rPr>
                <w:rFonts w:ascii="华文中宋" w:hAnsi="华文中宋" w:eastAsia="华文中宋" w:cs="华文中宋"/>
                <w:kern w:val="0"/>
                <w:sz w:val="24"/>
              </w:rPr>
            </w:pPr>
            <w:r>
              <w:rPr>
                <w:rFonts w:hint="eastAsia" w:ascii="华文中宋" w:hAnsi="华文中宋" w:eastAsia="华文中宋" w:cs="华文中宋"/>
                <w:kern w:val="0"/>
                <w:sz w:val="24"/>
              </w:rPr>
              <w:t>中国地质工程集团有限公司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413" w:type="dxa"/>
            <w:tcBorders>
              <w:top w:val="outset" w:color="auto" w:sz="6" w:space="0"/>
              <w:left w:val="outset" w:color="auto" w:sz="6" w:space="0"/>
              <w:bottom w:val="outset" w:color="auto" w:sz="6" w:space="0"/>
              <w:right w:val="outset" w:color="auto" w:sz="6" w:space="0"/>
            </w:tcBorders>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地址:</w:t>
            </w:r>
          </w:p>
        </w:tc>
        <w:tc>
          <w:tcPr>
            <w:tcW w:w="5759" w:type="dxa"/>
            <w:tcBorders>
              <w:top w:val="outset" w:color="auto" w:sz="6" w:space="0"/>
              <w:left w:val="outset" w:color="auto" w:sz="6" w:space="0"/>
              <w:bottom w:val="outset" w:color="auto" w:sz="6" w:space="0"/>
              <w:right w:val="outset" w:color="auto" w:sz="6" w:space="0"/>
            </w:tcBorders>
            <w:noWrap/>
            <w:tcMar>
              <w:top w:w="0" w:type="dxa"/>
              <w:left w:w="0" w:type="dxa"/>
              <w:bottom w:w="0" w:type="dxa"/>
              <w:right w:w="0" w:type="dxa"/>
            </w:tcMar>
            <w:vAlign w:val="center"/>
          </w:tcPr>
          <w:p>
            <w:pPr>
              <w:spacing w:line="360" w:lineRule="auto"/>
              <w:rPr>
                <w:rFonts w:ascii="华文中宋" w:hAnsi="华文中宋" w:eastAsia="华文中宋" w:cs="华文中宋"/>
                <w:kern w:val="0"/>
                <w:sz w:val="24"/>
              </w:rPr>
            </w:pPr>
            <w:r>
              <w:rPr>
                <w:rFonts w:hint="eastAsia" w:ascii="华文中宋" w:hAnsi="华文中宋" w:eastAsia="华文中宋" w:cs="华文中宋"/>
                <w:kern w:val="0"/>
                <w:sz w:val="24"/>
              </w:rPr>
              <w:t>北京市海淀区知春路丙18号中地商务楼5层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13" w:type="dxa"/>
            <w:tcBorders>
              <w:top w:val="outset" w:color="auto" w:sz="6" w:space="0"/>
              <w:left w:val="outset" w:color="auto" w:sz="6" w:space="0"/>
              <w:bottom w:val="outset" w:color="auto" w:sz="6" w:space="0"/>
              <w:right w:val="outset" w:color="auto" w:sz="6" w:space="0"/>
            </w:tcBorders>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联系人:</w:t>
            </w:r>
          </w:p>
        </w:tc>
        <w:tc>
          <w:tcPr>
            <w:tcW w:w="5759" w:type="dxa"/>
            <w:tcBorders>
              <w:top w:val="outset" w:color="auto" w:sz="6" w:space="0"/>
              <w:left w:val="outset" w:color="auto" w:sz="6" w:space="0"/>
              <w:bottom w:val="outset" w:color="auto" w:sz="6" w:space="0"/>
              <w:right w:val="outset" w:color="auto" w:sz="6" w:space="0"/>
            </w:tcBorders>
            <w:noWrap/>
            <w:tcMar>
              <w:top w:w="0" w:type="dxa"/>
              <w:left w:w="0" w:type="dxa"/>
              <w:bottom w:w="0" w:type="dxa"/>
              <w:right w:w="0" w:type="dxa"/>
            </w:tcMar>
            <w:vAlign w:val="center"/>
          </w:tcPr>
          <w:p>
            <w:pPr>
              <w:spacing w:line="360" w:lineRule="auto"/>
              <w:rPr>
                <w:rFonts w:ascii="华文中宋" w:hAnsi="华文中宋" w:eastAsia="华文中宋" w:cs="华文中宋"/>
                <w:kern w:val="0"/>
                <w:sz w:val="24"/>
              </w:rPr>
            </w:pPr>
            <w:r>
              <w:rPr>
                <w:rFonts w:hint="eastAsia" w:ascii="华文中宋" w:hAnsi="华文中宋" w:eastAsia="华文中宋" w:cs="华文中宋"/>
                <w:kern w:val="0"/>
                <w:sz w:val="24"/>
              </w:rPr>
              <w:t>张麟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13" w:type="dxa"/>
            <w:tcBorders>
              <w:top w:val="outset" w:color="auto" w:sz="6" w:space="0"/>
              <w:left w:val="outset" w:color="auto" w:sz="6" w:space="0"/>
              <w:bottom w:val="outset" w:color="auto" w:sz="6" w:space="0"/>
              <w:right w:val="outset" w:color="auto" w:sz="6" w:space="0"/>
            </w:tcBorders>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电话:</w:t>
            </w:r>
          </w:p>
        </w:tc>
        <w:tc>
          <w:tcPr>
            <w:tcW w:w="5759" w:type="dxa"/>
            <w:tcBorders>
              <w:top w:val="outset" w:color="auto" w:sz="6" w:space="0"/>
              <w:left w:val="outset" w:color="auto" w:sz="6" w:space="0"/>
              <w:bottom w:val="outset" w:color="auto" w:sz="6" w:space="0"/>
              <w:right w:val="outset" w:color="auto" w:sz="6" w:space="0"/>
            </w:tcBorders>
            <w:noWrap/>
            <w:tcMar>
              <w:top w:w="0" w:type="dxa"/>
              <w:left w:w="0" w:type="dxa"/>
              <w:bottom w:w="0" w:type="dxa"/>
              <w:right w:w="0" w:type="dxa"/>
            </w:tcMar>
            <w:vAlign w:val="center"/>
          </w:tcPr>
          <w:p>
            <w:pPr>
              <w:spacing w:line="360" w:lineRule="auto"/>
              <w:rPr>
                <w:rFonts w:ascii="华文中宋" w:hAnsi="华文中宋" w:eastAsia="华文中宋" w:cs="华文中宋"/>
                <w:kern w:val="0"/>
                <w:sz w:val="24"/>
              </w:rPr>
            </w:pPr>
            <w:r>
              <w:rPr>
                <w:rFonts w:hint="eastAsia" w:ascii="华文中宋" w:hAnsi="华文中宋" w:eastAsia="华文中宋" w:cs="华文中宋"/>
                <w:kern w:val="0"/>
                <w:sz w:val="24"/>
              </w:rPr>
              <w:t>010-62586814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13" w:type="dxa"/>
            <w:tcBorders>
              <w:top w:val="outset" w:color="auto" w:sz="6" w:space="0"/>
              <w:left w:val="outset" w:color="auto" w:sz="6" w:space="0"/>
              <w:bottom w:val="outset" w:color="auto" w:sz="6" w:space="0"/>
              <w:right w:val="outset" w:color="auto" w:sz="6" w:space="0"/>
            </w:tcBorders>
            <w:noWrap/>
            <w:tcMar>
              <w:top w:w="0" w:type="dxa"/>
              <w:left w:w="0" w:type="dxa"/>
              <w:bottom w:w="0" w:type="dxa"/>
              <w:right w:w="0" w:type="dxa"/>
            </w:tcMar>
            <w:vAlign w:val="center"/>
          </w:tcPr>
          <w:p>
            <w:pPr>
              <w:widowControl/>
              <w:spacing w:line="360" w:lineRule="auto"/>
              <w:jc w:val="left"/>
              <w:rPr>
                <w:rFonts w:ascii="华文中宋" w:hAnsi="华文中宋" w:eastAsia="华文中宋" w:cs="华文中宋"/>
                <w:kern w:val="0"/>
                <w:sz w:val="24"/>
              </w:rPr>
            </w:pPr>
            <w:r>
              <w:rPr>
                <w:rFonts w:hint="eastAsia" w:ascii="华文中宋" w:hAnsi="华文中宋" w:eastAsia="华文中宋" w:cs="华文中宋"/>
                <w:kern w:val="0"/>
                <w:sz w:val="24"/>
              </w:rPr>
              <w:t>邮箱:</w:t>
            </w:r>
          </w:p>
        </w:tc>
        <w:tc>
          <w:tcPr>
            <w:tcW w:w="5759" w:type="dxa"/>
            <w:tcBorders>
              <w:top w:val="outset" w:color="auto" w:sz="6" w:space="0"/>
              <w:left w:val="nil"/>
              <w:bottom w:val="outset" w:color="auto" w:sz="6" w:space="0"/>
              <w:right w:val="outset" w:color="auto" w:sz="6" w:space="0"/>
            </w:tcBorders>
            <w:noWrap/>
            <w:vAlign w:val="center"/>
          </w:tcPr>
          <w:p>
            <w:pPr>
              <w:spacing w:line="360" w:lineRule="auto"/>
              <w:rPr>
                <w:rFonts w:ascii="华文中宋" w:hAnsi="华文中宋" w:eastAsia="华文中宋" w:cs="华文中宋"/>
                <w:kern w:val="0"/>
                <w:sz w:val="24"/>
              </w:rPr>
            </w:pPr>
            <w:r>
              <w:rPr>
                <w:rFonts w:hint="eastAsia" w:ascii="华文中宋" w:hAnsi="华文中宋" w:eastAsia="华文中宋" w:cs="华文中宋"/>
                <w:kern w:val="0"/>
                <w:sz w:val="24"/>
              </w:rPr>
              <w:t>cgchbztb@126.com</w:t>
            </w:r>
          </w:p>
        </w:tc>
      </w:tr>
    </w:tbl>
    <w:p>
      <w:pPr>
        <w:spacing w:line="400" w:lineRule="exact"/>
        <w:rPr>
          <w:rFonts w:ascii="华文中宋" w:hAnsi="华文中宋" w:eastAsia="华文中宋" w:cs="华文中宋"/>
          <w:kern w:val="0"/>
          <w:sz w:val="24"/>
        </w:rPr>
      </w:pPr>
    </w:p>
    <w:p>
      <w:pPr>
        <w:pStyle w:val="2"/>
        <w:spacing w:before="0" w:after="0" w:line="360" w:lineRule="auto"/>
        <w:ind w:firstLine="3092" w:firstLineChars="1100"/>
        <w:rPr>
          <w:sz w:val="28"/>
          <w:szCs w:val="28"/>
        </w:rPr>
      </w:pPr>
    </w:p>
    <w:p>
      <w:pPr>
        <w:pStyle w:val="2"/>
        <w:spacing w:before="0" w:after="0" w:line="360" w:lineRule="auto"/>
        <w:rPr>
          <w:sz w:val="28"/>
          <w:szCs w:val="28"/>
        </w:rPr>
      </w:pPr>
    </w:p>
    <w:p>
      <w:pPr>
        <w:rPr>
          <w:sz w:val="28"/>
          <w:szCs w:val="28"/>
        </w:rPr>
      </w:pPr>
    </w:p>
    <w:p>
      <w:pPr>
        <w:rPr>
          <w:sz w:val="28"/>
          <w:szCs w:val="28"/>
        </w:rPr>
      </w:pPr>
    </w:p>
    <w:p>
      <w:pPr>
        <w:pStyle w:val="2"/>
        <w:spacing w:before="0" w:after="0" w:line="360" w:lineRule="auto"/>
        <w:ind w:firstLine="3092" w:firstLineChars="1100"/>
        <w:rPr>
          <w:sz w:val="28"/>
          <w:szCs w:val="28"/>
        </w:rPr>
      </w:pPr>
      <w:r>
        <w:rPr>
          <w:rFonts w:hint="eastAsia"/>
          <w:sz w:val="28"/>
          <w:szCs w:val="28"/>
        </w:rPr>
        <w:t>第二章  投标人须知</w:t>
      </w:r>
      <w:bookmarkEnd w:id="6"/>
      <w:bookmarkEnd w:id="7"/>
      <w:bookmarkEnd w:id="8"/>
      <w:bookmarkEnd w:id="9"/>
      <w:bookmarkEnd w:id="10"/>
    </w:p>
    <w:p>
      <w:pPr>
        <w:pStyle w:val="3"/>
        <w:snapToGrid w:val="0"/>
        <w:spacing w:before="240" w:after="120" w:line="240" w:lineRule="auto"/>
        <w:jc w:val="center"/>
        <w:rPr>
          <w:rFonts w:ascii="宋体" w:hAnsi="宋体" w:eastAsia="宋体" w:cs="宋体"/>
          <w:sz w:val="24"/>
          <w:szCs w:val="24"/>
        </w:rPr>
      </w:pPr>
      <w:bookmarkStart w:id="12" w:name="_Toc227057884"/>
      <w:bookmarkStart w:id="13" w:name="_Toc10210412"/>
      <w:bookmarkStart w:id="14" w:name="_Toc226969277"/>
      <w:bookmarkStart w:id="15" w:name="_Toc447188666"/>
      <w:bookmarkStart w:id="16" w:name="_Toc4189"/>
      <w:bookmarkStart w:id="17" w:name="_Toc16175983"/>
      <w:bookmarkStart w:id="18" w:name="_Toc447265215"/>
      <w:bookmarkStart w:id="19" w:name="_Toc447265501"/>
      <w:r>
        <w:rPr>
          <w:rFonts w:hint="eastAsia" w:ascii="宋体" w:hAnsi="宋体" w:eastAsia="宋体" w:cs="宋体"/>
          <w:bCs w:val="0"/>
          <w:sz w:val="24"/>
          <w:szCs w:val="24"/>
        </w:rPr>
        <w:t>投标人须知前附表</w:t>
      </w:r>
      <w:bookmarkEnd w:id="12"/>
      <w:bookmarkEnd w:id="13"/>
      <w:bookmarkEnd w:id="14"/>
      <w:bookmarkEnd w:id="15"/>
      <w:bookmarkEnd w:id="16"/>
      <w:bookmarkEnd w:id="17"/>
      <w:bookmarkEnd w:id="18"/>
      <w:bookmarkEnd w:id="19"/>
    </w:p>
    <w:p>
      <w:pPr>
        <w:autoSpaceDE w:val="0"/>
        <w:autoSpaceDN w:val="0"/>
        <w:jc w:val="left"/>
        <w:rPr>
          <w:rFonts w:ascii="宋体" w:cs="宋体"/>
        </w:rPr>
      </w:pPr>
      <w:r>
        <w:rPr>
          <w:rFonts w:hint="eastAsia" w:ascii="宋体" w:hAnsi="宋体" w:cs="宋体"/>
          <w:szCs w:val="21"/>
        </w:rPr>
        <w:t xml:space="preserve">  本投标人须知前附表是对投标人须知正文的具体补充和修改，如有矛盾，以本前附表为准。</w:t>
      </w:r>
    </w:p>
    <w:tbl>
      <w:tblPr>
        <w:tblStyle w:val="14"/>
        <w:tblW w:w="8647"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666"/>
        <w:gridCol w:w="614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blHeader/>
        </w:trPr>
        <w:tc>
          <w:tcPr>
            <w:tcW w:w="840" w:type="dxa"/>
            <w:tcBorders>
              <w:top w:val="single" w:color="auto" w:sz="8" w:space="0"/>
            </w:tcBorders>
            <w:noWrap/>
            <w:vAlign w:val="center"/>
          </w:tcPr>
          <w:p>
            <w:pPr>
              <w:autoSpaceDE w:val="0"/>
              <w:autoSpaceDN w:val="0"/>
              <w:spacing w:line="360" w:lineRule="exact"/>
              <w:jc w:val="center"/>
              <w:rPr>
                <w:rFonts w:ascii="宋体" w:hAnsi="宋体" w:cs="宋体"/>
                <w:b/>
                <w:szCs w:val="21"/>
              </w:rPr>
            </w:pPr>
            <w:r>
              <w:rPr>
                <w:rFonts w:hint="eastAsia" w:ascii="宋体" w:hAnsi="宋体" w:cs="宋体"/>
                <w:b/>
                <w:szCs w:val="21"/>
              </w:rPr>
              <w:t>序号</w:t>
            </w:r>
          </w:p>
        </w:tc>
        <w:tc>
          <w:tcPr>
            <w:tcW w:w="1666" w:type="dxa"/>
            <w:tcBorders>
              <w:top w:val="single" w:color="auto" w:sz="8" w:space="0"/>
            </w:tcBorders>
            <w:noWrap/>
            <w:vAlign w:val="center"/>
          </w:tcPr>
          <w:p>
            <w:pPr>
              <w:autoSpaceDE w:val="0"/>
              <w:autoSpaceDN w:val="0"/>
              <w:spacing w:line="360" w:lineRule="exact"/>
              <w:jc w:val="center"/>
              <w:rPr>
                <w:rFonts w:ascii="宋体" w:hAnsi="宋体" w:cs="宋体"/>
                <w:b/>
                <w:szCs w:val="21"/>
              </w:rPr>
            </w:pPr>
            <w:r>
              <w:rPr>
                <w:rFonts w:hint="eastAsia" w:ascii="宋体" w:hAnsi="宋体" w:cs="宋体"/>
                <w:b/>
                <w:szCs w:val="21"/>
              </w:rPr>
              <w:t>条款名称</w:t>
            </w:r>
          </w:p>
        </w:tc>
        <w:tc>
          <w:tcPr>
            <w:tcW w:w="6141" w:type="dxa"/>
            <w:tcBorders>
              <w:top w:val="single" w:color="auto" w:sz="8" w:space="0"/>
            </w:tcBorders>
            <w:noWrap/>
            <w:vAlign w:val="center"/>
          </w:tcPr>
          <w:p>
            <w:pPr>
              <w:autoSpaceDE w:val="0"/>
              <w:autoSpaceDN w:val="0"/>
              <w:spacing w:line="360" w:lineRule="exact"/>
              <w:jc w:val="center"/>
              <w:rPr>
                <w:rFonts w:ascii="宋体" w:hAnsi="宋体" w:cs="宋体"/>
                <w:b/>
                <w:szCs w:val="21"/>
              </w:rPr>
            </w:pPr>
            <w:r>
              <w:rPr>
                <w:rFonts w:hint="eastAsia" w:ascii="宋体" w:hAnsi="宋体" w:cs="宋体"/>
                <w:b/>
                <w:szCs w:val="21"/>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2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1</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招标人</w:t>
            </w:r>
          </w:p>
        </w:tc>
        <w:tc>
          <w:tcPr>
            <w:tcW w:w="6141" w:type="dxa"/>
            <w:noWrap/>
            <w:vAlign w:val="center"/>
          </w:tcPr>
          <w:p>
            <w:pPr>
              <w:spacing w:line="360" w:lineRule="exact"/>
              <w:rPr>
                <w:rFonts w:ascii="宋体" w:hAnsi="宋体"/>
                <w:szCs w:val="21"/>
              </w:rPr>
            </w:pPr>
            <w:r>
              <w:rPr>
                <w:rFonts w:hint="eastAsia" w:ascii="宋体" w:hAnsi="宋体"/>
                <w:szCs w:val="21"/>
              </w:rPr>
              <w:t xml:space="preserve">招标人：中国地质工程集团有限公司                                </w:t>
            </w:r>
          </w:p>
          <w:p>
            <w:pPr>
              <w:spacing w:line="380" w:lineRule="exact"/>
              <w:rPr>
                <w:rFonts w:ascii="宋体" w:hAnsi="宋体"/>
                <w:bCs/>
                <w:szCs w:val="21"/>
              </w:rPr>
            </w:pPr>
            <w:r>
              <w:rPr>
                <w:rFonts w:hint="eastAsia" w:ascii="宋体" w:hAnsi="宋体"/>
                <w:szCs w:val="21"/>
              </w:rPr>
              <w:t>地址：</w:t>
            </w:r>
            <w:r>
              <w:rPr>
                <w:rFonts w:hint="eastAsia" w:ascii="宋体" w:hAnsi="宋体"/>
                <w:bCs/>
                <w:szCs w:val="21"/>
              </w:rPr>
              <w:t>北京市-海淀区-知春路丙1</w:t>
            </w:r>
            <w:r>
              <w:rPr>
                <w:rFonts w:ascii="宋体" w:hAnsi="宋体"/>
                <w:bCs/>
                <w:szCs w:val="21"/>
              </w:rPr>
              <w:t>8</w:t>
            </w:r>
            <w:r>
              <w:rPr>
                <w:rFonts w:hint="eastAsia" w:ascii="宋体" w:hAnsi="宋体"/>
                <w:bCs/>
                <w:szCs w:val="21"/>
              </w:rPr>
              <w:t>号中地商务楼5层</w:t>
            </w:r>
          </w:p>
          <w:p>
            <w:pPr>
              <w:spacing w:line="380" w:lineRule="exact"/>
              <w:rPr>
                <w:rFonts w:ascii="宋体"/>
                <w:szCs w:val="21"/>
              </w:rPr>
            </w:pPr>
            <w:r>
              <w:rPr>
                <w:rFonts w:hint="eastAsia" w:ascii="宋体" w:hAnsi="宋体"/>
                <w:szCs w:val="21"/>
              </w:rPr>
              <w:t>联系人：张麟</w:t>
            </w:r>
          </w:p>
          <w:p>
            <w:pPr>
              <w:spacing w:line="360" w:lineRule="exact"/>
              <w:rPr>
                <w:rFonts w:ascii="宋体" w:hAnsi="宋体"/>
                <w:szCs w:val="21"/>
              </w:rPr>
            </w:pPr>
            <w:r>
              <w:rPr>
                <w:rFonts w:hint="eastAsia" w:ascii="宋体" w:hAnsi="宋体"/>
                <w:szCs w:val="21"/>
              </w:rPr>
              <w:t>电话：010-62586814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5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2</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项目名称</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lang w:val="en-US" w:eastAsia="zh-CN"/>
              </w:rPr>
              <w:t>江西省</w:t>
            </w:r>
            <w:r>
              <w:rPr>
                <w:rFonts w:hint="eastAsia" w:ascii="宋体" w:hAnsi="宋体" w:cs="宋体"/>
                <w:szCs w:val="21"/>
              </w:rPr>
              <w:t>新余市</w:t>
            </w:r>
            <w:r>
              <w:rPr>
                <w:rFonts w:hint="eastAsia" w:ascii="宋体" w:hAnsi="宋体" w:cs="宋体"/>
                <w:szCs w:val="21"/>
                <w:lang w:val="en-US" w:eastAsia="zh-CN"/>
              </w:rPr>
              <w:t>两江</w:t>
            </w:r>
            <w:r>
              <w:rPr>
                <w:rFonts w:hint="eastAsia" w:ascii="宋体" w:hAnsi="宋体" w:cs="宋体"/>
                <w:szCs w:val="21"/>
              </w:rPr>
              <w:t xml:space="preserve">黑臭水体整治工程项目楼宇雨污分流器采购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3</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资金来源</w:t>
            </w:r>
          </w:p>
        </w:tc>
        <w:tc>
          <w:tcPr>
            <w:tcW w:w="6141" w:type="dxa"/>
            <w:noWrap/>
            <w:vAlign w:val="center"/>
          </w:tcPr>
          <w:p>
            <w:pPr>
              <w:autoSpaceDE w:val="0"/>
              <w:autoSpaceDN w:val="0"/>
              <w:spacing w:line="360" w:lineRule="exact"/>
              <w:rPr>
                <w:rFonts w:hint="default" w:ascii="宋体" w:hAnsi="宋体" w:eastAsia="宋体" w:cs="宋体"/>
                <w:szCs w:val="21"/>
                <w:lang w:val="en-US" w:eastAsia="zh-CN"/>
              </w:rPr>
            </w:pPr>
            <w:r>
              <w:rPr>
                <w:rFonts w:hint="eastAsia" w:ascii="宋体" w:hAnsi="宋体" w:cs="宋体"/>
                <w:szCs w:val="21"/>
              </w:rPr>
              <w:t>自筹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50" w:hRule="atLeast"/>
        </w:trPr>
        <w:tc>
          <w:tcPr>
            <w:tcW w:w="840"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4</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付款方式</w:t>
            </w:r>
          </w:p>
        </w:tc>
        <w:tc>
          <w:tcPr>
            <w:tcW w:w="6141" w:type="dxa"/>
            <w:noWrap/>
            <w:vAlign w:val="center"/>
          </w:tcPr>
          <w:p>
            <w:pPr>
              <w:autoSpaceDE w:val="0"/>
              <w:autoSpaceDN w:val="0"/>
              <w:spacing w:line="360" w:lineRule="exact"/>
              <w:rPr>
                <w:rFonts w:hint="default" w:eastAsia="宋体"/>
                <w:szCs w:val="21"/>
                <w:lang w:val="en-US" w:eastAsia="zh-CN"/>
              </w:rPr>
            </w:pPr>
            <w:r>
              <w:rPr>
                <w:rFonts w:hint="eastAsia" w:ascii="宋体" w:hAnsi="宋体" w:cs="宋体"/>
                <w:szCs w:val="21"/>
              </w:rPr>
              <w:t>银行转账、银行承兑汇票</w:t>
            </w:r>
            <w:r>
              <w:rPr>
                <w:rFonts w:hint="eastAsia" w:ascii="宋体" w:hAnsi="宋体" w:cs="宋体"/>
                <w:szCs w:val="21"/>
                <w:lang w:val="en-US" w:eastAsia="zh-CN"/>
              </w:rPr>
              <w:t>或供应链金融产品等方式支付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5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4</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招标内容</w:t>
            </w:r>
          </w:p>
        </w:tc>
        <w:tc>
          <w:tcPr>
            <w:tcW w:w="6141" w:type="dxa"/>
            <w:noWrap/>
            <w:vAlign w:val="center"/>
          </w:tcPr>
          <w:p>
            <w:pPr>
              <w:autoSpaceDE w:val="0"/>
              <w:autoSpaceDN w:val="0"/>
              <w:spacing w:line="360" w:lineRule="exact"/>
              <w:rPr>
                <w:rFonts w:ascii="宋体" w:hAnsi="宋体" w:cs="宋体"/>
                <w:szCs w:val="21"/>
              </w:rPr>
            </w:pPr>
            <w:r>
              <w:rPr>
                <w:rFonts w:hint="eastAsia"/>
                <w:szCs w:val="21"/>
              </w:rPr>
              <w:t>本工程范围内的主要材料供应，详见清单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5</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计划工期</w:t>
            </w:r>
          </w:p>
        </w:tc>
        <w:tc>
          <w:tcPr>
            <w:tcW w:w="6141" w:type="dxa"/>
            <w:noWrap/>
            <w:vAlign w:val="center"/>
          </w:tcPr>
          <w:p>
            <w:pPr>
              <w:autoSpaceDE w:val="0"/>
              <w:autoSpaceDN w:val="0"/>
              <w:spacing w:line="360" w:lineRule="exact"/>
              <w:rPr>
                <w:szCs w:val="21"/>
              </w:rPr>
            </w:pPr>
            <w:r>
              <w:rPr>
                <w:rFonts w:hint="eastAsia"/>
                <w:szCs w:val="21"/>
              </w:rPr>
              <w:t>计划工期：/日历天（以监理发出的开工令日期为准）</w:t>
            </w:r>
          </w:p>
          <w:p>
            <w:pPr>
              <w:autoSpaceDE w:val="0"/>
              <w:autoSpaceDN w:val="0"/>
              <w:spacing w:line="360" w:lineRule="exact"/>
              <w:rPr>
                <w:szCs w:val="21"/>
              </w:rPr>
            </w:pPr>
            <w:r>
              <w:rPr>
                <w:rFonts w:hint="eastAsia"/>
                <w:szCs w:val="21"/>
              </w:rPr>
              <w:t>计划开工日期：</w:t>
            </w:r>
            <w:bookmarkStart w:id="20" w:name="计划开工日期"/>
            <w:r>
              <w:rPr>
                <w:rFonts w:hint="eastAsia"/>
                <w:szCs w:val="21"/>
              </w:rPr>
              <w:t xml:space="preserve"> / </w:t>
            </w:r>
            <w:bookmarkEnd w:id="20"/>
          </w:p>
          <w:p>
            <w:pPr>
              <w:autoSpaceDE w:val="0"/>
              <w:autoSpaceDN w:val="0"/>
              <w:spacing w:line="360" w:lineRule="exact"/>
              <w:rPr>
                <w:szCs w:val="21"/>
              </w:rPr>
            </w:pPr>
            <w:r>
              <w:rPr>
                <w:rFonts w:hint="eastAsia"/>
                <w:szCs w:val="21"/>
              </w:rPr>
              <w:t>计划竣工日期：</w:t>
            </w:r>
            <w:bookmarkStart w:id="21" w:name="计划竣工日期"/>
            <w:r>
              <w:rPr>
                <w:rFonts w:hint="eastAsia"/>
                <w:szCs w:val="21"/>
              </w:rPr>
              <w:t xml:space="preserve"> / </w:t>
            </w:r>
            <w:bookmarkEnd w:id="21"/>
          </w:p>
          <w:p>
            <w:pPr>
              <w:tabs>
                <w:tab w:val="left" w:pos="432"/>
                <w:tab w:val="left" w:pos="576"/>
              </w:tabs>
              <w:autoSpaceDE w:val="0"/>
              <w:autoSpaceDN w:val="0"/>
              <w:spacing w:line="360" w:lineRule="exact"/>
              <w:rPr>
                <w:szCs w:val="21"/>
              </w:rPr>
            </w:pPr>
            <w:r>
              <w:rPr>
                <w:rFonts w:hint="eastAsia"/>
                <w:szCs w:val="21"/>
              </w:rPr>
              <w:t>除上述总工期外，发包人还要求以下区段工期：/。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6</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标包划分</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不分标段。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7</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招标方式</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公开招标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8</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招标组织形式</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自行组织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9</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资格审查方式</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资格后审。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10</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投标人资格要求</w:t>
            </w:r>
          </w:p>
        </w:tc>
        <w:tc>
          <w:tcPr>
            <w:tcW w:w="6141" w:type="dxa"/>
            <w:noWrap/>
            <w:vAlign w:val="center"/>
          </w:tcPr>
          <w:p>
            <w:pPr>
              <w:spacing w:line="360" w:lineRule="auto"/>
              <w:ind w:firstLine="210" w:firstLineChars="100"/>
              <w:jc w:val="left"/>
              <w:rPr>
                <w:rFonts w:ascii="宋体" w:hAnsi="宋体" w:cs="宋体"/>
                <w:szCs w:val="21"/>
              </w:rPr>
            </w:pPr>
            <w:r>
              <w:rPr>
                <w:rFonts w:hint="eastAsia" w:ascii="宋体" w:hAnsi="宋体" w:cs="宋体"/>
                <w:szCs w:val="21"/>
              </w:rPr>
              <w:t>（1）参加投标的企业必须具有独立法人资格，且经过2020年工商年检。</w:t>
            </w:r>
          </w:p>
          <w:p>
            <w:pPr>
              <w:spacing w:line="360" w:lineRule="auto"/>
              <w:ind w:firstLine="210" w:firstLineChars="100"/>
              <w:jc w:val="left"/>
              <w:rPr>
                <w:rFonts w:ascii="宋体" w:hAnsi="宋体" w:cs="宋体"/>
                <w:szCs w:val="21"/>
              </w:rPr>
            </w:pPr>
            <w:r>
              <w:rPr>
                <w:rFonts w:hint="eastAsia" w:ascii="宋体" w:hAnsi="宋体" w:cs="宋体"/>
                <w:szCs w:val="21"/>
              </w:rPr>
              <w:t>（2）参加投标的企业</w:t>
            </w:r>
            <w:r>
              <w:rPr>
                <w:rFonts w:hint="eastAsia" w:ascii="宋体" w:hAnsi="宋体" w:cs="宋体"/>
                <w:szCs w:val="21"/>
                <w:lang w:val="en-US" w:eastAsia="zh-CN"/>
              </w:rPr>
              <w:t>可</w:t>
            </w:r>
            <w:r>
              <w:rPr>
                <w:rFonts w:hint="eastAsia" w:ascii="宋体" w:hAnsi="宋体" w:cs="宋体"/>
                <w:szCs w:val="21"/>
              </w:rPr>
              <w:t>为生产厂家、生产厂家办事处或生产厂家的区域、地区代理，如参加投标的企业为代理，需提供生产厂家的营业执照复印件（加盖公章）、授权文件等资料。</w:t>
            </w:r>
          </w:p>
          <w:p>
            <w:pPr>
              <w:spacing w:line="360" w:lineRule="auto"/>
              <w:ind w:firstLine="210" w:firstLineChars="100"/>
              <w:jc w:val="left"/>
              <w:rPr>
                <w:szCs w:val="21"/>
              </w:rPr>
            </w:pPr>
            <w:r>
              <w:rPr>
                <w:rFonts w:hint="eastAsia" w:ascii="宋体" w:hAnsi="宋体" w:cs="宋体"/>
                <w:szCs w:val="21"/>
              </w:rPr>
              <w:t>（3）投标人提供的营业执照和资质等级证书等的原始复印件，此证件必须加盖公章及法人代表授权代表的签章方能有效。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11</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投标人不得存在的情形</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）投标人为不具有独立企业法人机构或其他组织；</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）被责令停业</w:t>
            </w:r>
            <w:r>
              <w:rPr>
                <w:rFonts w:hint="eastAsia" w:ascii="宋体" w:hAnsi="宋体" w:cs="宋体"/>
                <w:szCs w:val="21"/>
                <w:lang w:eastAsia="zh-CN"/>
              </w:rPr>
              <w:t>、</w:t>
            </w:r>
            <w:r>
              <w:rPr>
                <w:rFonts w:hint="eastAsia" w:ascii="宋体" w:hAnsi="宋体" w:cs="宋体"/>
                <w:szCs w:val="21"/>
                <w:lang w:val="en-US" w:eastAsia="zh-CN"/>
              </w:rPr>
              <w:t>停产</w:t>
            </w:r>
            <w:r>
              <w:rPr>
                <w:rFonts w:hint="eastAsia" w:ascii="宋体" w:hAnsi="宋体" w:cs="宋体"/>
                <w:szCs w:val="21"/>
              </w:rPr>
              <w:t>的；</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）被暂停或者取消投标资格的；</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）财产被接管或者冻结的；</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）在最近三年内有骗取中标、严重违约、重大工程质量或者安全问题的；</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）法律法规限定的其他情形。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2</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踏勘现场</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不组织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3</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投标预备会</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不召开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4</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投标人提出澄清问题的截止时间和方式</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截止时间：</w:t>
            </w:r>
            <w:r>
              <w:rPr>
                <w:rFonts w:hint="eastAsia" w:ascii="宋体" w:hAnsi="宋体" w:cs="宋体"/>
                <w:szCs w:val="21"/>
                <w:u w:val="single"/>
              </w:rPr>
              <w:t>2021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u w:val="single"/>
              </w:rPr>
              <w:t>点</w:t>
            </w:r>
            <w:r>
              <w:rPr>
                <w:rFonts w:hint="eastAsia" w:ascii="宋体" w:hAnsi="宋体" w:cs="宋体"/>
                <w:szCs w:val="21"/>
                <w:u w:val="single"/>
                <w:lang w:val="en-US" w:eastAsia="zh-CN"/>
              </w:rPr>
              <w:t>00</w:t>
            </w:r>
            <w:r>
              <w:rPr>
                <w:rFonts w:hint="eastAsia" w:ascii="宋体" w:hAnsi="宋体" w:cs="宋体"/>
                <w:szCs w:val="21"/>
                <w:u w:val="single"/>
              </w:rPr>
              <w:t>分</w:t>
            </w:r>
            <w:r>
              <w:rPr>
                <w:rFonts w:hint="eastAsia" w:ascii="宋体" w:hAnsi="宋体" w:cs="宋体"/>
                <w:szCs w:val="21"/>
              </w:rPr>
              <w:t>（北京时间）</w:t>
            </w:r>
          </w:p>
          <w:p>
            <w:pPr>
              <w:autoSpaceDE w:val="0"/>
              <w:autoSpaceDN w:val="0"/>
              <w:spacing w:line="360" w:lineRule="exact"/>
              <w:rPr>
                <w:rFonts w:ascii="宋体" w:hAnsi="宋体" w:cs="宋体"/>
                <w:szCs w:val="21"/>
              </w:rPr>
            </w:pPr>
            <w:r>
              <w:rPr>
                <w:rFonts w:hint="eastAsia" w:ascii="宋体" w:hAnsi="宋体" w:cs="宋体"/>
                <w:szCs w:val="21"/>
              </w:rPr>
              <w:t>提出澄清的方式：以书面的形式发出澄清或者修改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5</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招标人发出招标文件澄清或者修改的截止时间和方式</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截止时间：</w:t>
            </w:r>
            <w:r>
              <w:rPr>
                <w:rFonts w:hint="eastAsia" w:ascii="宋体" w:hAnsi="宋体" w:cs="宋体"/>
                <w:szCs w:val="21"/>
                <w:u w:val="single"/>
              </w:rPr>
              <w:t>2021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u w:val="single"/>
              </w:rPr>
              <w:t>点</w:t>
            </w:r>
            <w:r>
              <w:rPr>
                <w:rFonts w:hint="eastAsia" w:ascii="宋体" w:hAnsi="宋体" w:cs="宋体"/>
                <w:szCs w:val="21"/>
                <w:u w:val="single"/>
                <w:lang w:val="en-US" w:eastAsia="zh-CN"/>
              </w:rPr>
              <w:t>00</w:t>
            </w:r>
            <w:r>
              <w:rPr>
                <w:rFonts w:hint="eastAsia" w:ascii="宋体" w:hAnsi="宋体" w:cs="宋体"/>
                <w:szCs w:val="21"/>
                <w:u w:val="single"/>
              </w:rPr>
              <w:t>分</w:t>
            </w:r>
            <w:r>
              <w:rPr>
                <w:rFonts w:hint="eastAsia" w:ascii="宋体" w:hAnsi="宋体" w:cs="宋体"/>
                <w:szCs w:val="21"/>
              </w:rPr>
              <w:t>（北京时间）</w:t>
            </w:r>
          </w:p>
          <w:p>
            <w:pPr>
              <w:autoSpaceDE w:val="0"/>
              <w:autoSpaceDN w:val="0"/>
              <w:spacing w:line="360" w:lineRule="exact"/>
              <w:rPr>
                <w:rFonts w:ascii="宋体" w:hAnsi="宋体" w:cs="宋体"/>
                <w:szCs w:val="21"/>
              </w:rPr>
            </w:pPr>
            <w:r>
              <w:rPr>
                <w:rFonts w:hint="eastAsia" w:ascii="宋体" w:hAnsi="宋体" w:cs="宋体"/>
                <w:szCs w:val="21"/>
              </w:rPr>
              <w:t>发出澄清或者修改的方式：以书面的形式发出澄清或者修改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6</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投标文件的盖章或者签字</w:t>
            </w:r>
          </w:p>
        </w:tc>
        <w:tc>
          <w:tcPr>
            <w:tcW w:w="6141" w:type="dxa"/>
            <w:noWrap/>
            <w:vAlign w:val="center"/>
          </w:tcPr>
          <w:p>
            <w:pPr>
              <w:autoSpaceDE w:val="0"/>
              <w:autoSpaceDN w:val="0"/>
              <w:spacing w:line="360" w:lineRule="exact"/>
              <w:rPr>
                <w:rFonts w:ascii="宋体" w:hAnsi="宋体" w:cs="宋体"/>
                <w:strike/>
                <w:color w:val="5B9BD5" w:themeColor="accent1"/>
                <w:szCs w:val="21"/>
              </w:rPr>
            </w:pPr>
            <w:r>
              <w:rPr>
                <w:rFonts w:hint="eastAsia" w:ascii="宋体" w:hAnsi="宋体" w:cs="宋体"/>
                <w:szCs w:val="21"/>
              </w:rPr>
              <w:t>（1）通过有效年检的营业执照正（副）本复印件、有效期内的税务登记证复印件（加盖公章）</w:t>
            </w:r>
            <w:r>
              <w:rPr>
                <w:rFonts w:hint="eastAsia" w:ascii="宋体" w:hAnsi="宋体" w:cs="宋体"/>
                <w:strike w:val="0"/>
                <w:color w:val="auto"/>
                <w:szCs w:val="21"/>
              </w:rPr>
              <w:t>；</w:t>
            </w:r>
          </w:p>
          <w:p>
            <w:pPr>
              <w:autoSpaceDE w:val="0"/>
              <w:autoSpaceDN w:val="0"/>
              <w:spacing w:line="36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）投标函（格式见附件）（公司加盖公章，法人签字或盖章）；</w:t>
            </w:r>
          </w:p>
          <w:p>
            <w:pPr>
              <w:autoSpaceDE w:val="0"/>
              <w:autoSpaceDN w:val="0"/>
              <w:spacing w:line="36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）投标报价表（格式见附件）（加盖公章）</w:t>
            </w:r>
            <w:r>
              <w:rPr>
                <w:rFonts w:hint="eastAsia" w:ascii="宋体" w:hAnsi="宋体" w:cs="宋体"/>
                <w:szCs w:val="21"/>
                <w:lang w:eastAsia="zh-CN"/>
              </w:rPr>
              <w:t>；</w:t>
            </w:r>
          </w:p>
          <w:p>
            <w:pPr>
              <w:autoSpaceDE w:val="0"/>
              <w:autoSpaceDN w:val="0"/>
              <w:spacing w:line="360" w:lineRule="exac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）法定代表人资格证明书（格式见附件）（公司加盖公章，授权人签字）；</w:t>
            </w:r>
          </w:p>
          <w:p>
            <w:pPr>
              <w:autoSpaceDE w:val="0"/>
              <w:autoSpaceDN w:val="0"/>
              <w:spacing w:line="36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）法定代表人授权书（格式见附件）（公司加盖公章，法人签字）；</w:t>
            </w:r>
          </w:p>
          <w:p>
            <w:pPr>
              <w:autoSpaceDE w:val="0"/>
              <w:autoSpaceDN w:val="0"/>
              <w:spacing w:line="360" w:lineRule="exact"/>
              <w:rPr>
                <w:rFonts w:hint="eastAsia" w:ascii="宋体" w:hAnsi="宋体" w:eastAsia="宋体" w:cs="宋体"/>
                <w:szCs w:val="21"/>
                <w:lang w:eastAsia="zh-CN"/>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）企业及产品概况表（格式见附件）（加盖公章）</w:t>
            </w:r>
            <w:r>
              <w:rPr>
                <w:rFonts w:hint="eastAsia" w:ascii="宋体" w:hAnsi="宋体" w:cs="宋体"/>
                <w:szCs w:val="21"/>
                <w:lang w:eastAsia="zh-CN"/>
              </w:rPr>
              <w:t>；</w:t>
            </w:r>
          </w:p>
          <w:p>
            <w:pPr>
              <w:autoSpaceDE w:val="0"/>
              <w:autoSpaceDN w:val="0"/>
              <w:spacing w:line="36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trike w:val="0"/>
                <w:color w:val="auto"/>
                <w:szCs w:val="21"/>
              </w:rPr>
              <w:t>产品质量最新检验报告（复印件加盖公章）；</w:t>
            </w:r>
          </w:p>
          <w:p>
            <w:pPr>
              <w:autoSpaceDE w:val="0"/>
              <w:autoSpaceDN w:val="0"/>
              <w:spacing w:line="36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）企业三年内无产品质量相关诉讼或被执行说明（格式见附件）</w:t>
            </w:r>
          </w:p>
          <w:p>
            <w:pPr>
              <w:autoSpaceDE w:val="0"/>
              <w:autoSpaceDN w:val="0"/>
              <w:spacing w:line="360" w:lineRule="exac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）质量体系认证书复印件及其他符合相关国家要求的资格文件复印件（如没有，可不提供）；</w:t>
            </w:r>
          </w:p>
          <w:p>
            <w:pPr>
              <w:autoSpaceDE w:val="0"/>
              <w:autoSpaceDN w:val="0"/>
              <w:spacing w:line="36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）投标单位能够提供的优惠条件（如没有，可不提供）。</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7</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szCs w:val="21"/>
              </w:rPr>
              <w:t>最高投标限价</w:t>
            </w:r>
          </w:p>
        </w:tc>
        <w:tc>
          <w:tcPr>
            <w:tcW w:w="6141" w:type="dxa"/>
            <w:noWrap/>
            <w:vAlign w:val="center"/>
          </w:tcPr>
          <w:p>
            <w:pPr>
              <w:autoSpaceDE w:val="0"/>
              <w:autoSpaceDN w:val="0"/>
              <w:spacing w:line="360" w:lineRule="exact"/>
              <w:rPr>
                <w:rFonts w:ascii="宋体" w:hAnsi="宋体" w:cs="宋体"/>
                <w:szCs w:val="21"/>
                <w:u w:val="single"/>
              </w:rPr>
            </w:pPr>
            <w:r>
              <w:rPr>
                <w:rFonts w:hint="eastAsia" w:ascii="宋体" w:hAnsi="宋体" w:cs="宋体"/>
                <w:szCs w:val="21"/>
              </w:rPr>
              <w:t>不设置最高投标限价。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8</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投标报价具体</w:t>
            </w:r>
          </w:p>
          <w:p>
            <w:pPr>
              <w:autoSpaceDE w:val="0"/>
              <w:autoSpaceDN w:val="0"/>
              <w:spacing w:line="360" w:lineRule="exact"/>
              <w:jc w:val="center"/>
              <w:rPr>
                <w:rFonts w:ascii="宋体" w:hAnsi="宋体" w:cs="宋体"/>
                <w:szCs w:val="21"/>
              </w:rPr>
            </w:pPr>
            <w:r>
              <w:rPr>
                <w:rFonts w:hint="eastAsia" w:ascii="宋体" w:hAnsi="宋体" w:cs="宋体"/>
                <w:szCs w:val="21"/>
              </w:rPr>
              <w:t>要求</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（1）投标报价为固定单价，不因市场价格波动或招标方实际采购数量的增减而调整。</w:t>
            </w:r>
          </w:p>
          <w:p>
            <w:pPr>
              <w:autoSpaceDE w:val="0"/>
              <w:autoSpaceDN w:val="0"/>
              <w:spacing w:line="360" w:lineRule="exact"/>
              <w:rPr>
                <w:rFonts w:ascii="宋体" w:hAnsi="宋体" w:cs="宋体"/>
                <w:szCs w:val="21"/>
              </w:rPr>
            </w:pPr>
            <w:r>
              <w:rPr>
                <w:rFonts w:hint="eastAsia" w:ascii="宋体" w:hAnsi="宋体" w:cs="宋体"/>
                <w:szCs w:val="21"/>
              </w:rPr>
              <w:t>（2）投标方应在招标文件所附的投标报价表中标明拟提供材料的单价和总价。如单价和总价不符，以单价为准，修整总价。如果用数字表示的金额与用文字表示的金额不一致时，以文字标明的金额为准。</w:t>
            </w:r>
          </w:p>
          <w:p>
            <w:pPr>
              <w:autoSpaceDE w:val="0"/>
              <w:autoSpaceDN w:val="0"/>
              <w:spacing w:line="360" w:lineRule="exact"/>
              <w:rPr>
                <w:rFonts w:ascii="宋体" w:hAnsi="宋体" w:cs="宋体"/>
                <w:szCs w:val="21"/>
              </w:rPr>
            </w:pPr>
            <w:r>
              <w:rPr>
                <w:rFonts w:hint="eastAsia" w:ascii="宋体" w:hAnsi="宋体" w:cs="宋体"/>
                <w:szCs w:val="21"/>
              </w:rPr>
              <w:t>（3）投标报价中材料单价包括：材料出厂价、包装、运输、保险费、装卸费、机械费、损耗、现场见证取样检测费、管理费、利润、税金等货物运抵至招标方施工现场或招标方指定地点所发生的一切费用。</w:t>
            </w:r>
          </w:p>
          <w:p>
            <w:pPr>
              <w:autoSpaceDE w:val="0"/>
              <w:autoSpaceDN w:val="0"/>
              <w:spacing w:line="360" w:lineRule="exact"/>
              <w:rPr>
                <w:rFonts w:ascii="宋体" w:hAnsi="宋体" w:cs="宋体"/>
                <w:szCs w:val="21"/>
              </w:rPr>
            </w:pPr>
            <w:r>
              <w:rPr>
                <w:rFonts w:hint="eastAsia" w:ascii="宋体" w:hAnsi="宋体" w:cs="宋体"/>
                <w:szCs w:val="21"/>
              </w:rPr>
              <w:t>（4）投标报价中材料单价同时包括投标方应提供的质量检测等内容。</w:t>
            </w:r>
          </w:p>
          <w:p>
            <w:pPr>
              <w:autoSpaceDE w:val="0"/>
              <w:autoSpaceDN w:val="0"/>
              <w:spacing w:line="360" w:lineRule="exact"/>
              <w:rPr>
                <w:rFonts w:ascii="宋体" w:hAnsi="宋体" w:cs="宋体"/>
                <w:szCs w:val="21"/>
              </w:rPr>
            </w:pPr>
            <w:r>
              <w:rPr>
                <w:rFonts w:hint="eastAsia" w:ascii="宋体" w:hAnsi="宋体" w:cs="宋体"/>
                <w:szCs w:val="21"/>
              </w:rPr>
              <w:t>（5）投标单位需提供公司的产品价目表，并标明配件实际供货价格。（按价目表下浮的比例）</w:t>
            </w:r>
          </w:p>
          <w:p>
            <w:pPr>
              <w:autoSpaceDE w:val="0"/>
              <w:autoSpaceDN w:val="0"/>
              <w:spacing w:line="360" w:lineRule="exact"/>
              <w:rPr>
                <w:rFonts w:ascii="宋体" w:hAnsi="宋体" w:cs="宋体"/>
                <w:szCs w:val="21"/>
              </w:rPr>
            </w:pPr>
            <w:r>
              <w:rPr>
                <w:rFonts w:hint="eastAsia" w:ascii="宋体" w:hAnsi="宋体" w:cs="宋体"/>
                <w:szCs w:val="21"/>
              </w:rPr>
              <w:t>（6）投标方应提供招标文件材料明细表中各项材料样品各一件，供招标方封样。</w:t>
            </w:r>
          </w:p>
          <w:p>
            <w:pPr>
              <w:autoSpaceDE w:val="0"/>
              <w:autoSpaceDN w:val="0"/>
              <w:spacing w:line="360" w:lineRule="exact"/>
              <w:rPr>
                <w:rFonts w:ascii="仿宋" w:hAnsi="仿宋" w:eastAsia="仿宋" w:cs="华文中宋"/>
                <w:sz w:val="24"/>
              </w:rPr>
            </w:pPr>
            <w:r>
              <w:rPr>
                <w:rFonts w:hint="eastAsia" w:ascii="宋体" w:hAnsi="宋体" w:cs="宋体"/>
                <w:szCs w:val="21"/>
              </w:rPr>
              <w:t>（7）投标报价中必须包含完成本项目所产生的一切费用，招标人不再支付投标报价之外的任何费用。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19</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投标有效期</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投标有效期：60</w:t>
            </w:r>
            <w:r>
              <w:rPr>
                <w:rFonts w:hint="eastAsia" w:ascii="宋体" w:hAnsi="宋体" w:cs="宋体"/>
                <w:szCs w:val="21"/>
                <w:u w:val="single"/>
              </w:rPr>
              <w:t>日历</w:t>
            </w:r>
            <w:r>
              <w:rPr>
                <w:rFonts w:hint="eastAsia" w:ascii="宋体" w:hAnsi="宋体" w:cs="宋体"/>
                <w:szCs w:val="21"/>
              </w:rPr>
              <w:t>天（从投标截止之日算起）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0</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投标保证金</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不收取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1</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备选投标方案</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2</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投标文件密封和份数</w:t>
            </w:r>
          </w:p>
        </w:tc>
        <w:tc>
          <w:tcPr>
            <w:tcW w:w="6141" w:type="dxa"/>
            <w:noWrap/>
            <w:vAlign w:val="center"/>
          </w:tcPr>
          <w:p>
            <w:pPr>
              <w:pStyle w:val="8"/>
              <w:tabs>
                <w:tab w:val="left" w:pos="630"/>
              </w:tabs>
              <w:snapToGrid w:val="0"/>
              <w:spacing w:line="360" w:lineRule="exact"/>
              <w:rPr>
                <w:rFonts w:hAnsi="宋体" w:cs="宋体"/>
                <w:kern w:val="2"/>
                <w:sz w:val="21"/>
                <w:szCs w:val="21"/>
              </w:rPr>
            </w:pPr>
            <w:r>
              <w:rPr>
                <w:rFonts w:hint="eastAsia" w:hAnsi="宋体" w:cs="宋体"/>
                <w:kern w:val="2"/>
                <w:sz w:val="21"/>
                <w:szCs w:val="21"/>
              </w:rPr>
              <w:t>纸质标书份数：壹份正本，贰份副本（要求提交电子文档壹份，自备存储U盘一并封存至投标文件中）</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3</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投标文件的标记要求</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4</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szCs w:val="21"/>
              </w:rPr>
              <w:t>投标文件递交截止时间和地点</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投标文件递交截止时间：2021年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00</w:t>
            </w:r>
            <w:r>
              <w:rPr>
                <w:rFonts w:hint="eastAsia" w:ascii="宋体" w:hAnsi="宋体" w:cs="宋体"/>
                <w:szCs w:val="21"/>
              </w:rPr>
              <w:t>分（北京时间）</w:t>
            </w:r>
          </w:p>
          <w:p>
            <w:pPr>
              <w:autoSpaceDE w:val="0"/>
              <w:autoSpaceDN w:val="0"/>
              <w:spacing w:line="360" w:lineRule="exact"/>
              <w:rPr>
                <w:rFonts w:ascii="宋体" w:hAnsi="宋体" w:cs="宋体"/>
                <w:szCs w:val="21"/>
              </w:rPr>
            </w:pPr>
            <w:r>
              <w:rPr>
                <w:rFonts w:hint="eastAsia" w:ascii="宋体" w:hAnsi="宋体" w:cs="宋体"/>
                <w:szCs w:val="21"/>
              </w:rPr>
              <w:t>投标文件递交地点：</w:t>
            </w:r>
            <w:r>
              <w:rPr>
                <w:rFonts w:hint="eastAsia" w:ascii="宋体" w:hAnsi="宋体"/>
                <w:bCs/>
                <w:szCs w:val="21"/>
              </w:rPr>
              <w:t>北京市-海淀区知春路丙1</w:t>
            </w:r>
            <w:r>
              <w:rPr>
                <w:rFonts w:ascii="宋体" w:hAnsi="宋体"/>
                <w:bCs/>
                <w:szCs w:val="21"/>
              </w:rPr>
              <w:t>8</w:t>
            </w:r>
            <w:r>
              <w:rPr>
                <w:rFonts w:hint="eastAsia" w:ascii="宋体" w:hAnsi="宋体"/>
                <w:bCs/>
                <w:szCs w:val="21"/>
              </w:rPr>
              <w:t>号中地商务楼5层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5</w:t>
            </w:r>
          </w:p>
        </w:tc>
        <w:tc>
          <w:tcPr>
            <w:tcW w:w="1666" w:type="dxa"/>
            <w:noWrap/>
            <w:vAlign w:val="center"/>
          </w:tcPr>
          <w:p>
            <w:pPr>
              <w:autoSpaceDE w:val="0"/>
              <w:autoSpaceDN w:val="0"/>
              <w:spacing w:line="360" w:lineRule="exact"/>
              <w:jc w:val="center"/>
              <w:rPr>
                <w:rFonts w:ascii="宋体" w:hAnsi="宋体"/>
                <w:szCs w:val="21"/>
              </w:rPr>
            </w:pPr>
            <w:r>
              <w:rPr>
                <w:rFonts w:hint="eastAsia" w:ascii="宋体" w:hAnsi="宋体"/>
                <w:szCs w:val="21"/>
              </w:rPr>
              <w:t>投标文件退还</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不退还</w:t>
            </w:r>
            <w:bookmarkStart w:id="538" w:name="_GoBack"/>
            <w:bookmarkEnd w:id="538"/>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6</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开标时间和地点</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同投标文件递交截止时间和地点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94"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7</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评标委员会组成人数</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u w:val="single"/>
              </w:rPr>
              <w:t xml:space="preserve"> 5</w:t>
            </w:r>
            <w:r>
              <w:rPr>
                <w:rFonts w:hint="eastAsia" w:ascii="宋体" w:hAnsi="宋体" w:cs="宋体"/>
                <w:szCs w:val="21"/>
              </w:rPr>
              <w:t>人，</w:t>
            </w:r>
            <w:r>
              <w:rPr>
                <w:rFonts w:hint="eastAsia" w:ascii="宋体" w:hAnsi="宋体"/>
                <w:szCs w:val="21"/>
              </w:rPr>
              <w:t>从集团公司评标专家库中</w:t>
            </w:r>
            <w:r>
              <w:rPr>
                <w:rFonts w:hint="eastAsia" w:ascii="宋体" w:hAnsi="宋体"/>
                <w:szCs w:val="21"/>
                <w:lang w:val="en-US" w:eastAsia="zh-CN"/>
              </w:rPr>
              <w:t>选取</w:t>
            </w:r>
            <w:r>
              <w:rPr>
                <w:rFonts w:hint="eastAsia" w:ascii="宋体" w:hAnsi="宋体"/>
                <w:szCs w:val="21"/>
              </w:rPr>
              <w:t>产生。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8</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评标方法</w:t>
            </w:r>
          </w:p>
        </w:tc>
        <w:tc>
          <w:tcPr>
            <w:tcW w:w="6141" w:type="dxa"/>
            <w:noWrap/>
            <w:vAlign w:val="center"/>
          </w:tcPr>
          <w:p>
            <w:pPr>
              <w:autoSpaceDE w:val="0"/>
              <w:autoSpaceDN w:val="0"/>
              <w:spacing w:line="360" w:lineRule="exact"/>
              <w:rPr>
                <w:rFonts w:ascii="宋体" w:hAnsi="宋体" w:cs="宋体"/>
                <w:szCs w:val="21"/>
              </w:rPr>
            </w:pPr>
            <w:r>
              <w:rPr>
                <w:rFonts w:hint="eastAsia" w:ascii="宋体" w:hAnsi="宋体" w:cs="宋体"/>
                <w:szCs w:val="21"/>
              </w:rPr>
              <w:t>经评审的最低投标价法，详见招标文件第三章评标办法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29</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中标候选人推荐原则</w:t>
            </w:r>
          </w:p>
        </w:tc>
        <w:tc>
          <w:tcPr>
            <w:tcW w:w="6141" w:type="dxa"/>
            <w:noWrap/>
            <w:vAlign w:val="center"/>
          </w:tcPr>
          <w:p>
            <w:pPr>
              <w:autoSpaceDE w:val="0"/>
              <w:autoSpaceDN w:val="0"/>
              <w:spacing w:line="360" w:lineRule="exact"/>
              <w:jc w:val="left"/>
              <w:rPr>
                <w:rFonts w:ascii="宋体" w:hAnsi="宋体" w:cs="宋体"/>
                <w:szCs w:val="21"/>
              </w:rPr>
            </w:pPr>
            <w:r>
              <w:rPr>
                <w:rFonts w:hint="eastAsia" w:ascii="宋体" w:hAnsi="宋体" w:cs="宋体"/>
                <w:szCs w:val="21"/>
              </w:rPr>
              <w:t>中标候选人按评标得分由高到低顺序排列，得分相同的，按投标报价得分高者优先，推荐三名中标候选人。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3</w:t>
            </w:r>
            <w:r>
              <w:rPr>
                <w:rFonts w:hint="eastAsia" w:ascii="宋体" w:hAnsi="宋体" w:cs="宋体"/>
                <w:szCs w:val="21"/>
              </w:rPr>
              <w:t>0</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中标人确定</w:t>
            </w:r>
          </w:p>
        </w:tc>
        <w:tc>
          <w:tcPr>
            <w:tcW w:w="6141" w:type="dxa"/>
            <w:noWrap/>
            <w:vAlign w:val="center"/>
          </w:tcPr>
          <w:p>
            <w:pPr>
              <w:autoSpaceDE w:val="0"/>
              <w:autoSpaceDN w:val="0"/>
              <w:spacing w:line="360" w:lineRule="exact"/>
              <w:rPr>
                <w:rFonts w:hint="default" w:ascii="宋体" w:hAnsi="宋体" w:eastAsia="宋体" w:cs="宋体"/>
                <w:szCs w:val="21"/>
                <w:lang w:val="en-US" w:eastAsia="zh-CN"/>
              </w:rPr>
            </w:pPr>
            <w:r>
              <w:rPr>
                <w:rFonts w:hint="eastAsia" w:ascii="宋体" w:hAnsi="宋体"/>
                <w:szCs w:val="21"/>
              </w:rPr>
              <w:t>评标委员会推荐中标候选人</w:t>
            </w:r>
            <w:r>
              <w:rPr>
                <w:rFonts w:hint="eastAsia" w:ascii="宋体" w:hAnsi="宋体"/>
                <w:szCs w:val="21"/>
                <w:u w:val="single"/>
              </w:rPr>
              <w:t xml:space="preserve"> 3 </w:t>
            </w:r>
            <w:r>
              <w:rPr>
                <w:rFonts w:hint="eastAsia" w:ascii="宋体" w:hAnsi="宋体"/>
                <w:szCs w:val="21"/>
              </w:rPr>
              <w:t>人</w:t>
            </w:r>
            <w:r>
              <w:rPr>
                <w:rFonts w:hint="eastAsia" w:ascii="宋体" w:hAnsi="宋体" w:cs="宋体"/>
                <w:szCs w:val="21"/>
              </w:rPr>
              <w:t>，</w:t>
            </w:r>
            <w:r>
              <w:rPr>
                <w:rFonts w:hint="eastAsia" w:ascii="宋体" w:hAnsi="宋体" w:cs="宋体"/>
                <w:szCs w:val="21"/>
                <w:lang w:val="en-US" w:eastAsia="zh-CN"/>
              </w:rPr>
              <w:t>其中</w:t>
            </w:r>
            <w:r>
              <w:rPr>
                <w:rFonts w:hint="eastAsia" w:ascii="宋体" w:hAnsi="宋体" w:cs="宋体"/>
                <w:szCs w:val="21"/>
                <w:u w:val="single"/>
              </w:rPr>
              <w:t xml:space="preserve"> 1 </w:t>
            </w:r>
            <w:r>
              <w:rPr>
                <w:rFonts w:hint="eastAsia" w:ascii="宋体" w:hAnsi="宋体" w:cs="宋体"/>
                <w:szCs w:val="21"/>
              </w:rPr>
              <w:t>人</w:t>
            </w:r>
            <w:r>
              <w:rPr>
                <w:rFonts w:hint="eastAsia" w:ascii="宋体" w:hAnsi="宋体" w:cs="宋体"/>
                <w:szCs w:val="21"/>
                <w:lang w:val="en-US" w:eastAsia="zh-CN"/>
              </w:rPr>
              <w:t>为中标人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noWrap/>
            <w:vAlign w:val="center"/>
          </w:tcPr>
          <w:p>
            <w:pPr>
              <w:autoSpaceDE w:val="0"/>
              <w:autoSpaceDN w:val="0"/>
              <w:spacing w:line="360" w:lineRule="exact"/>
              <w:jc w:val="center"/>
              <w:rPr>
                <w:rFonts w:ascii="宋体" w:hAnsi="宋体" w:cs="宋体"/>
                <w:szCs w:val="21"/>
              </w:rPr>
            </w:pPr>
            <w:r>
              <w:rPr>
                <w:rFonts w:ascii="宋体" w:hAnsi="宋体" w:cs="宋体"/>
                <w:szCs w:val="21"/>
              </w:rPr>
              <w:t>3</w:t>
            </w:r>
            <w:r>
              <w:rPr>
                <w:rFonts w:hint="eastAsia" w:ascii="宋体" w:hAnsi="宋体" w:cs="宋体"/>
                <w:szCs w:val="21"/>
              </w:rPr>
              <w:t>1</w:t>
            </w:r>
          </w:p>
        </w:tc>
        <w:tc>
          <w:tcPr>
            <w:tcW w:w="1666" w:type="dxa"/>
            <w:noWrap/>
            <w:vAlign w:val="center"/>
          </w:tcPr>
          <w:p>
            <w:pPr>
              <w:autoSpaceDE w:val="0"/>
              <w:autoSpaceDN w:val="0"/>
              <w:spacing w:line="360" w:lineRule="exact"/>
              <w:jc w:val="center"/>
              <w:rPr>
                <w:rFonts w:ascii="宋体" w:hAnsi="宋体" w:cs="宋体"/>
                <w:szCs w:val="21"/>
              </w:rPr>
            </w:pPr>
            <w:r>
              <w:rPr>
                <w:rFonts w:hint="eastAsia" w:ascii="宋体" w:hAnsi="宋体" w:cs="宋体"/>
                <w:szCs w:val="21"/>
              </w:rPr>
              <w:t>履约保证金金额和形式</w:t>
            </w:r>
          </w:p>
        </w:tc>
        <w:tc>
          <w:tcPr>
            <w:tcW w:w="6141" w:type="dxa"/>
            <w:noWrap/>
            <w:vAlign w:val="center"/>
          </w:tcPr>
          <w:p>
            <w:pPr>
              <w:autoSpaceDE w:val="0"/>
              <w:autoSpaceDN w:val="0"/>
              <w:spacing w:line="360" w:lineRule="exact"/>
              <w:jc w:val="left"/>
              <w:rPr>
                <w:rFonts w:ascii="宋体" w:hAnsi="宋体" w:cs="宋体"/>
                <w:szCs w:val="21"/>
              </w:rPr>
            </w:pPr>
            <w:r>
              <w:rPr>
                <w:rFonts w:hint="eastAsia" w:ascii="宋体" w:hAnsi="宋体" w:cs="宋体"/>
                <w:szCs w:val="21"/>
              </w:rPr>
              <w:t>无</w:t>
            </w:r>
          </w:p>
        </w:tc>
      </w:tr>
    </w:tbl>
    <w:p>
      <w:pPr>
        <w:pStyle w:val="3"/>
        <w:snapToGrid w:val="0"/>
        <w:spacing w:before="240" w:after="120" w:line="240" w:lineRule="auto"/>
        <w:jc w:val="center"/>
        <w:rPr>
          <w:rFonts w:ascii="宋体" w:hAnsi="宋体" w:eastAsia="宋体" w:cs="宋体"/>
          <w:bCs w:val="0"/>
          <w:sz w:val="24"/>
          <w:szCs w:val="24"/>
        </w:rPr>
      </w:pPr>
      <w:bookmarkStart w:id="22" w:name="_Toc10210413"/>
      <w:bookmarkStart w:id="23" w:name="_Toc15360"/>
      <w:bookmarkStart w:id="24" w:name="_Toc16175984"/>
      <w:bookmarkStart w:id="25" w:name="_Toc447265216"/>
      <w:bookmarkStart w:id="26" w:name="_Toc447188667"/>
      <w:bookmarkStart w:id="27" w:name="_Toc447265502"/>
      <w:bookmarkStart w:id="28" w:name="_Toc8657468"/>
      <w:bookmarkStart w:id="29" w:name="_Toc226969278"/>
      <w:bookmarkStart w:id="30" w:name="_Toc227057885"/>
      <w:bookmarkStart w:id="31" w:name="_Toc107822484"/>
      <w:bookmarkStart w:id="32" w:name="_Toc488655831"/>
    </w:p>
    <w:p>
      <w:pPr>
        <w:spacing w:before="240" w:after="120"/>
      </w:pPr>
      <w:r>
        <w:br w:type="page"/>
      </w:r>
    </w:p>
    <w:p>
      <w:pPr>
        <w:pStyle w:val="3"/>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投标人须知</w:t>
      </w:r>
      <w:bookmarkEnd w:id="22"/>
      <w:bookmarkEnd w:id="23"/>
      <w:bookmarkEnd w:id="24"/>
    </w:p>
    <w:p>
      <w:pPr>
        <w:spacing w:line="360" w:lineRule="auto"/>
        <w:outlineLvl w:val="1"/>
        <w:rPr>
          <w:rFonts w:ascii="宋体"/>
          <w:b/>
        </w:rPr>
      </w:pPr>
      <w:bookmarkStart w:id="33" w:name="_Toc10210414"/>
      <w:bookmarkStart w:id="34" w:name="_Toc22941"/>
      <w:r>
        <w:rPr>
          <w:rFonts w:ascii="宋体" w:hAnsi="宋体"/>
          <w:b/>
        </w:rPr>
        <w:t>1.</w:t>
      </w:r>
      <w:r>
        <w:rPr>
          <w:rFonts w:hint="eastAsia" w:ascii="宋体" w:hAnsi="宋体"/>
          <w:b/>
        </w:rPr>
        <w:t>总则</w:t>
      </w:r>
      <w:bookmarkEnd w:id="25"/>
      <w:bookmarkEnd w:id="26"/>
      <w:bookmarkEnd w:id="27"/>
      <w:bookmarkEnd w:id="28"/>
      <w:bookmarkEnd w:id="33"/>
      <w:bookmarkEnd w:id="34"/>
    </w:p>
    <w:p>
      <w:pPr>
        <w:spacing w:line="360" w:lineRule="auto"/>
        <w:outlineLvl w:val="2"/>
        <w:rPr>
          <w:rFonts w:ascii="宋体"/>
          <w:b/>
        </w:rPr>
      </w:pPr>
      <w:bookmarkStart w:id="35" w:name="_Toc246996919"/>
      <w:bookmarkStart w:id="36" w:name="_Toc247085690"/>
      <w:bookmarkStart w:id="37" w:name="_Toc179632547"/>
      <w:bookmarkStart w:id="38" w:name="_Toc447265503"/>
      <w:bookmarkStart w:id="39" w:name="_Toc152045530"/>
      <w:bookmarkStart w:id="40" w:name="_Toc296602421"/>
      <w:bookmarkStart w:id="41" w:name="_Toc12775"/>
      <w:bookmarkStart w:id="42" w:name="_Toc10210415"/>
      <w:bookmarkStart w:id="43" w:name="_Toc8657469"/>
      <w:bookmarkStart w:id="44" w:name="_Toc246996176"/>
      <w:bookmarkStart w:id="45" w:name="_Toc447188668"/>
      <w:bookmarkStart w:id="46" w:name="_Toc447265217"/>
      <w:bookmarkStart w:id="47" w:name="_Toc144974498"/>
      <w:bookmarkStart w:id="48" w:name="_Toc152042306"/>
      <w:r>
        <w:rPr>
          <w:rFonts w:ascii="宋体" w:hAnsi="宋体"/>
          <w:b/>
        </w:rPr>
        <w:t>1.1</w:t>
      </w:r>
      <w:r>
        <w:rPr>
          <w:rFonts w:hint="eastAsia" w:ascii="宋体" w:hAnsi="宋体"/>
          <w:b/>
        </w:rPr>
        <w:t>项目概况</w:t>
      </w:r>
      <w:bookmarkEnd w:id="29"/>
      <w:bookmarkEnd w:id="30"/>
      <w:bookmarkEnd w:id="35"/>
      <w:bookmarkEnd w:id="36"/>
      <w:bookmarkEnd w:id="37"/>
      <w:bookmarkEnd w:id="38"/>
      <w:bookmarkEnd w:id="39"/>
      <w:bookmarkEnd w:id="40"/>
      <w:bookmarkEnd w:id="41"/>
      <w:bookmarkEnd w:id="42"/>
      <w:bookmarkEnd w:id="43"/>
      <w:bookmarkEnd w:id="44"/>
      <w:bookmarkEnd w:id="45"/>
      <w:bookmarkEnd w:id="46"/>
      <w:bookmarkEnd w:id="47"/>
      <w:bookmarkEnd w:id="48"/>
    </w:p>
    <w:p>
      <w:pPr>
        <w:tabs>
          <w:tab w:val="left" w:pos="630"/>
        </w:tabs>
        <w:spacing w:line="380" w:lineRule="exact"/>
        <w:ind w:firstLine="420"/>
        <w:rPr>
          <w:rFonts w:ascii="宋体" w:hAnsi="宋体"/>
          <w:szCs w:val="21"/>
        </w:rPr>
      </w:pPr>
      <w:r>
        <w:rPr>
          <w:rFonts w:hint="eastAsia" w:ascii="宋体" w:hAnsi="宋体"/>
          <w:szCs w:val="21"/>
        </w:rPr>
        <w:t>1.1.1根据《中华人民共和国招标投标法》（以下简称《招标投标法》）、《中国人民共和国招标投标法实施条例》（以下简称《实施条例》）等有关法律、法规和规章的规定，本招标项目已具备招标条件，现对本项目进行公开招标。</w:t>
      </w:r>
    </w:p>
    <w:p>
      <w:pPr>
        <w:tabs>
          <w:tab w:val="left" w:pos="630"/>
        </w:tabs>
        <w:spacing w:line="380" w:lineRule="exact"/>
        <w:ind w:firstLine="420"/>
        <w:rPr>
          <w:rFonts w:ascii="宋体" w:hAnsi="宋体"/>
          <w:szCs w:val="21"/>
        </w:rPr>
      </w:pPr>
      <w:r>
        <w:rPr>
          <w:rFonts w:hint="eastAsia" w:ascii="宋体" w:hAnsi="宋体"/>
          <w:szCs w:val="21"/>
        </w:rPr>
        <w:t>1.1.2招标人：招标人单位名称及联系方式见投标人须知前附表。</w:t>
      </w:r>
    </w:p>
    <w:p>
      <w:pPr>
        <w:tabs>
          <w:tab w:val="left" w:pos="630"/>
        </w:tabs>
        <w:spacing w:line="380" w:lineRule="exact"/>
        <w:ind w:firstLine="420"/>
        <w:rPr>
          <w:rFonts w:ascii="宋体" w:hAnsi="宋体"/>
          <w:szCs w:val="21"/>
        </w:rPr>
      </w:pPr>
      <w:r>
        <w:rPr>
          <w:rFonts w:hint="eastAsia" w:ascii="宋体" w:hAnsi="宋体"/>
          <w:szCs w:val="21"/>
        </w:rPr>
        <w:t>1.1.3项目名称：项目名称见投标人须知前附表。</w:t>
      </w:r>
    </w:p>
    <w:p>
      <w:pPr>
        <w:spacing w:line="360" w:lineRule="auto"/>
        <w:outlineLvl w:val="2"/>
        <w:rPr>
          <w:rFonts w:ascii="宋体"/>
          <w:b/>
        </w:rPr>
      </w:pPr>
      <w:bookmarkStart w:id="49" w:name="_Toc227057886"/>
      <w:bookmarkStart w:id="50" w:name="_Toc447188669"/>
      <w:bookmarkStart w:id="51" w:name="_Toc226969279"/>
      <w:bookmarkStart w:id="52" w:name="_Toc7573"/>
      <w:bookmarkStart w:id="53" w:name="_Toc10210416"/>
      <w:bookmarkStart w:id="54" w:name="_Toc8657470"/>
      <w:bookmarkStart w:id="55" w:name="_Toc447265504"/>
      <w:bookmarkStart w:id="56" w:name="_Toc447265218"/>
      <w:r>
        <w:rPr>
          <w:rFonts w:ascii="宋体" w:hAnsi="宋体"/>
          <w:b/>
        </w:rPr>
        <w:t>1.2</w:t>
      </w:r>
      <w:r>
        <w:rPr>
          <w:rFonts w:hint="eastAsia" w:ascii="宋体" w:hAnsi="宋体"/>
          <w:b/>
        </w:rPr>
        <w:t>资金来源</w:t>
      </w:r>
      <w:bookmarkEnd w:id="49"/>
      <w:bookmarkEnd w:id="50"/>
      <w:bookmarkEnd w:id="51"/>
      <w:r>
        <w:rPr>
          <w:rFonts w:hint="eastAsia" w:ascii="宋体" w:hAnsi="宋体"/>
          <w:b/>
        </w:rPr>
        <w:t>和落实情况</w:t>
      </w:r>
      <w:bookmarkEnd w:id="52"/>
      <w:bookmarkEnd w:id="53"/>
      <w:bookmarkEnd w:id="54"/>
      <w:bookmarkEnd w:id="55"/>
      <w:bookmarkEnd w:id="56"/>
    </w:p>
    <w:p>
      <w:pPr>
        <w:tabs>
          <w:tab w:val="left" w:pos="630"/>
        </w:tabs>
        <w:spacing w:line="380" w:lineRule="exact"/>
        <w:ind w:firstLine="420"/>
        <w:rPr>
          <w:rFonts w:ascii="宋体" w:hAnsi="宋体"/>
          <w:szCs w:val="21"/>
        </w:rPr>
      </w:pPr>
      <w:r>
        <w:rPr>
          <w:rFonts w:hint="eastAsia" w:ascii="宋体" w:hAnsi="宋体"/>
          <w:szCs w:val="21"/>
        </w:rPr>
        <w:t>本项目资金已落实，资金来源见投标人须知前附表。</w:t>
      </w:r>
    </w:p>
    <w:p>
      <w:pPr>
        <w:spacing w:line="360" w:lineRule="auto"/>
        <w:outlineLvl w:val="2"/>
        <w:rPr>
          <w:rFonts w:ascii="宋体"/>
          <w:b/>
        </w:rPr>
      </w:pPr>
      <w:bookmarkStart w:id="57" w:name="_Toc8657471"/>
      <w:bookmarkStart w:id="58" w:name="_Toc447265219"/>
      <w:bookmarkStart w:id="59" w:name="_Toc447188670"/>
      <w:bookmarkStart w:id="60" w:name="_Toc447265505"/>
      <w:bookmarkStart w:id="61" w:name="_Toc10210417"/>
      <w:bookmarkStart w:id="62" w:name="_Toc9495"/>
      <w:r>
        <w:rPr>
          <w:rFonts w:ascii="宋体" w:hAnsi="宋体"/>
          <w:b/>
        </w:rPr>
        <w:t>1.3</w:t>
      </w:r>
      <w:r>
        <w:rPr>
          <w:rFonts w:hint="eastAsia" w:ascii="宋体" w:hAnsi="宋体"/>
          <w:b/>
        </w:rPr>
        <w:t>招标</w:t>
      </w:r>
      <w:bookmarkEnd w:id="57"/>
      <w:bookmarkEnd w:id="58"/>
      <w:bookmarkEnd w:id="59"/>
      <w:bookmarkEnd w:id="60"/>
      <w:bookmarkEnd w:id="61"/>
      <w:r>
        <w:rPr>
          <w:rFonts w:hint="eastAsia" w:ascii="宋体" w:hAnsi="宋体"/>
          <w:b/>
        </w:rPr>
        <w:t>内容</w:t>
      </w:r>
      <w:bookmarkEnd w:id="62"/>
    </w:p>
    <w:p>
      <w:pPr>
        <w:tabs>
          <w:tab w:val="left" w:pos="630"/>
        </w:tabs>
        <w:spacing w:line="380" w:lineRule="exact"/>
        <w:ind w:firstLine="420"/>
        <w:rPr>
          <w:rFonts w:ascii="宋体" w:hAnsi="宋体"/>
          <w:szCs w:val="21"/>
        </w:rPr>
      </w:pPr>
      <w:r>
        <w:rPr>
          <w:rFonts w:hint="eastAsia" w:ascii="宋体" w:hAnsi="宋体"/>
          <w:szCs w:val="21"/>
        </w:rPr>
        <w:t>1.3.1本项目招标内容：见投标人须知前附表。</w:t>
      </w:r>
    </w:p>
    <w:p>
      <w:pPr>
        <w:tabs>
          <w:tab w:val="left" w:pos="630"/>
        </w:tabs>
        <w:spacing w:line="380" w:lineRule="exact"/>
        <w:ind w:firstLine="420"/>
        <w:rPr>
          <w:rFonts w:ascii="宋体" w:hAnsi="宋体"/>
          <w:szCs w:val="21"/>
        </w:rPr>
      </w:pPr>
      <w:r>
        <w:rPr>
          <w:rFonts w:hint="eastAsia" w:ascii="宋体" w:hAnsi="宋体"/>
          <w:szCs w:val="21"/>
        </w:rPr>
        <w:t>1.3.2本项目施工工期：见投标人须知前附表。</w:t>
      </w:r>
    </w:p>
    <w:p>
      <w:pPr>
        <w:spacing w:line="360" w:lineRule="auto"/>
        <w:outlineLvl w:val="2"/>
        <w:rPr>
          <w:rFonts w:ascii="宋体"/>
          <w:b/>
        </w:rPr>
      </w:pPr>
      <w:bookmarkStart w:id="63" w:name="_Toc8657472"/>
      <w:bookmarkStart w:id="64" w:name="_Toc30303"/>
      <w:bookmarkStart w:id="65" w:name="_Toc10210418"/>
      <w:r>
        <w:rPr>
          <w:rFonts w:ascii="宋体" w:hAnsi="宋体"/>
          <w:b/>
        </w:rPr>
        <w:t>1.4</w:t>
      </w:r>
      <w:r>
        <w:rPr>
          <w:rFonts w:hint="eastAsia" w:ascii="宋体" w:hAnsi="宋体"/>
          <w:b/>
        </w:rPr>
        <w:t>标包划分</w:t>
      </w:r>
      <w:bookmarkEnd w:id="63"/>
      <w:bookmarkEnd w:id="64"/>
      <w:bookmarkEnd w:id="65"/>
    </w:p>
    <w:p>
      <w:pPr>
        <w:tabs>
          <w:tab w:val="left" w:pos="630"/>
        </w:tabs>
        <w:spacing w:line="380" w:lineRule="exact"/>
        <w:ind w:firstLine="420"/>
        <w:rPr>
          <w:rFonts w:ascii="宋体" w:hAnsi="宋体"/>
          <w:szCs w:val="21"/>
        </w:rPr>
      </w:pPr>
      <w:r>
        <w:rPr>
          <w:rFonts w:hint="eastAsia" w:ascii="宋体" w:hAnsi="宋体"/>
          <w:szCs w:val="21"/>
        </w:rPr>
        <w:t>本项目标包划分情况见投标人须知前附表。</w:t>
      </w:r>
    </w:p>
    <w:bookmarkEnd w:id="31"/>
    <w:p>
      <w:pPr>
        <w:spacing w:line="360" w:lineRule="auto"/>
        <w:outlineLvl w:val="2"/>
        <w:rPr>
          <w:rFonts w:ascii="宋体"/>
          <w:b/>
        </w:rPr>
      </w:pPr>
      <w:bookmarkStart w:id="66" w:name="_Toc227057888"/>
      <w:bookmarkStart w:id="67" w:name="_Toc447188672"/>
      <w:bookmarkStart w:id="68" w:name="_Toc107822486"/>
      <w:bookmarkStart w:id="69" w:name="_Toc8657473"/>
      <w:bookmarkStart w:id="70" w:name="_Toc13517"/>
      <w:bookmarkStart w:id="71" w:name="_Toc10210419"/>
      <w:bookmarkStart w:id="72" w:name="_Toc226969281"/>
      <w:bookmarkStart w:id="73" w:name="_Toc447265221"/>
      <w:bookmarkStart w:id="74" w:name="_Toc447265507"/>
      <w:r>
        <w:rPr>
          <w:rFonts w:ascii="宋体" w:hAnsi="宋体"/>
          <w:b/>
        </w:rPr>
        <w:t>1.5</w:t>
      </w:r>
      <w:r>
        <w:rPr>
          <w:rFonts w:hint="eastAsia" w:ascii="宋体" w:hAnsi="宋体"/>
          <w:b/>
        </w:rPr>
        <w:t>招标方式</w:t>
      </w:r>
      <w:bookmarkEnd w:id="66"/>
      <w:bookmarkEnd w:id="67"/>
      <w:bookmarkEnd w:id="68"/>
      <w:bookmarkEnd w:id="69"/>
      <w:bookmarkEnd w:id="70"/>
      <w:bookmarkEnd w:id="71"/>
      <w:bookmarkEnd w:id="72"/>
      <w:bookmarkEnd w:id="73"/>
      <w:bookmarkEnd w:id="74"/>
    </w:p>
    <w:p>
      <w:pPr>
        <w:tabs>
          <w:tab w:val="left" w:pos="630"/>
        </w:tabs>
        <w:spacing w:line="380" w:lineRule="exact"/>
        <w:ind w:firstLine="420"/>
        <w:rPr>
          <w:rFonts w:ascii="宋体" w:hAnsi="宋体"/>
          <w:szCs w:val="21"/>
        </w:rPr>
      </w:pPr>
      <w:r>
        <w:rPr>
          <w:rFonts w:hint="eastAsia" w:ascii="宋体" w:hAnsi="宋体"/>
          <w:szCs w:val="21"/>
        </w:rPr>
        <w:t>1.5.1招标方式见投标人须知前附表。</w:t>
      </w:r>
    </w:p>
    <w:p>
      <w:pPr>
        <w:tabs>
          <w:tab w:val="left" w:pos="630"/>
        </w:tabs>
        <w:spacing w:line="380" w:lineRule="exact"/>
        <w:ind w:firstLine="420"/>
        <w:rPr>
          <w:rFonts w:ascii="宋体" w:hAnsi="宋体"/>
          <w:szCs w:val="21"/>
        </w:rPr>
      </w:pPr>
      <w:r>
        <w:rPr>
          <w:rFonts w:hint="eastAsia" w:ascii="宋体" w:hAnsi="宋体"/>
          <w:szCs w:val="21"/>
        </w:rPr>
        <w:t>1.5.2公开招标，是指招标人以招标公告的方式邀请不特定的法人或者其他组织投标。</w:t>
      </w:r>
    </w:p>
    <w:p>
      <w:pPr>
        <w:spacing w:line="360" w:lineRule="auto"/>
        <w:outlineLvl w:val="2"/>
        <w:rPr>
          <w:rFonts w:ascii="宋体"/>
          <w:b/>
          <w:szCs w:val="21"/>
        </w:rPr>
      </w:pPr>
      <w:bookmarkStart w:id="75" w:name="_Toc226969280"/>
      <w:bookmarkStart w:id="76" w:name="_Toc227057887"/>
      <w:bookmarkStart w:id="77" w:name="_Toc26023"/>
      <w:bookmarkStart w:id="78" w:name="_Toc10210420"/>
      <w:bookmarkStart w:id="79" w:name="_Toc107822485"/>
      <w:bookmarkStart w:id="80" w:name="_Toc8657474"/>
      <w:bookmarkStart w:id="81" w:name="_Toc447188673"/>
      <w:bookmarkStart w:id="82" w:name="_Toc447265222"/>
      <w:bookmarkStart w:id="83" w:name="_Toc447265508"/>
      <w:bookmarkStart w:id="84" w:name="_Toc227057889"/>
      <w:bookmarkStart w:id="85" w:name="_Toc226969282"/>
      <w:r>
        <w:rPr>
          <w:rFonts w:ascii="宋体" w:hAnsi="宋体"/>
          <w:b/>
          <w:szCs w:val="21"/>
        </w:rPr>
        <w:t>1.6</w:t>
      </w:r>
      <w:r>
        <w:rPr>
          <w:rFonts w:hint="eastAsia" w:ascii="宋体" w:hAnsi="宋体"/>
          <w:b/>
          <w:szCs w:val="21"/>
        </w:rPr>
        <w:t>招标组织形式</w:t>
      </w:r>
      <w:bookmarkEnd w:id="75"/>
      <w:bookmarkEnd w:id="76"/>
      <w:bookmarkEnd w:id="77"/>
      <w:bookmarkEnd w:id="78"/>
      <w:bookmarkEnd w:id="79"/>
      <w:bookmarkEnd w:id="80"/>
      <w:bookmarkEnd w:id="81"/>
      <w:bookmarkEnd w:id="82"/>
      <w:bookmarkEnd w:id="83"/>
    </w:p>
    <w:p>
      <w:pPr>
        <w:tabs>
          <w:tab w:val="left" w:pos="630"/>
        </w:tabs>
        <w:spacing w:line="380" w:lineRule="exact"/>
        <w:ind w:firstLine="420"/>
        <w:rPr>
          <w:rFonts w:ascii="宋体" w:hAnsi="宋体"/>
          <w:szCs w:val="21"/>
        </w:rPr>
      </w:pPr>
      <w:r>
        <w:rPr>
          <w:rFonts w:hint="eastAsia" w:ascii="宋体" w:hAnsi="宋体"/>
          <w:szCs w:val="21"/>
        </w:rPr>
        <w:t>本项目由招标人自行组织，招标组织形式、联系方式见投标人须知前附表。</w:t>
      </w:r>
    </w:p>
    <w:p>
      <w:pPr>
        <w:spacing w:line="360" w:lineRule="auto"/>
        <w:outlineLvl w:val="2"/>
        <w:rPr>
          <w:rFonts w:ascii="宋体"/>
          <w:b/>
          <w:szCs w:val="21"/>
        </w:rPr>
      </w:pPr>
      <w:bookmarkStart w:id="86" w:name="_Toc10210421"/>
      <w:bookmarkStart w:id="87" w:name="_Toc17883"/>
      <w:bookmarkStart w:id="88" w:name="_Toc447265223"/>
      <w:bookmarkStart w:id="89" w:name="_Toc447188674"/>
      <w:bookmarkStart w:id="90" w:name="_Toc8657475"/>
      <w:bookmarkStart w:id="91" w:name="_Toc447265509"/>
      <w:r>
        <w:rPr>
          <w:rFonts w:ascii="宋体" w:hAnsi="宋体"/>
          <w:b/>
          <w:szCs w:val="21"/>
        </w:rPr>
        <w:t>1.7</w:t>
      </w:r>
      <w:r>
        <w:rPr>
          <w:rFonts w:hint="eastAsia" w:ascii="宋体" w:hAnsi="宋体"/>
          <w:b/>
          <w:szCs w:val="21"/>
        </w:rPr>
        <w:t>资格审查</w:t>
      </w:r>
      <w:bookmarkEnd w:id="84"/>
      <w:bookmarkEnd w:id="85"/>
      <w:bookmarkEnd w:id="86"/>
      <w:bookmarkEnd w:id="87"/>
      <w:bookmarkEnd w:id="88"/>
      <w:bookmarkEnd w:id="89"/>
      <w:bookmarkEnd w:id="90"/>
      <w:bookmarkEnd w:id="91"/>
    </w:p>
    <w:p>
      <w:pPr>
        <w:tabs>
          <w:tab w:val="left" w:pos="630"/>
        </w:tabs>
        <w:spacing w:line="380" w:lineRule="exact"/>
        <w:ind w:firstLine="420"/>
        <w:rPr>
          <w:rFonts w:ascii="宋体" w:hAnsi="宋体"/>
          <w:szCs w:val="21"/>
        </w:rPr>
      </w:pPr>
      <w:bookmarkStart w:id="92" w:name="_Toc447265510"/>
      <w:bookmarkStart w:id="93" w:name="_Toc447265224"/>
      <w:bookmarkStart w:id="94" w:name="_Toc447188675"/>
      <w:r>
        <w:rPr>
          <w:rFonts w:hint="eastAsia" w:ascii="宋体" w:hAnsi="宋体"/>
          <w:szCs w:val="21"/>
        </w:rPr>
        <w:t>1.7.1本招标项目资格审查方式见投标人须知前附表。</w:t>
      </w:r>
    </w:p>
    <w:p>
      <w:pPr>
        <w:spacing w:line="360" w:lineRule="auto"/>
        <w:outlineLvl w:val="2"/>
        <w:rPr>
          <w:rFonts w:ascii="宋体"/>
          <w:b/>
          <w:szCs w:val="21"/>
        </w:rPr>
      </w:pPr>
      <w:bookmarkStart w:id="95" w:name="_Toc10210422"/>
      <w:bookmarkStart w:id="96" w:name="_Toc26469"/>
      <w:bookmarkStart w:id="97" w:name="_Toc8657476"/>
      <w:r>
        <w:rPr>
          <w:rFonts w:ascii="宋体" w:hAnsi="宋体"/>
          <w:b/>
          <w:szCs w:val="21"/>
        </w:rPr>
        <w:t>1.8</w:t>
      </w:r>
      <w:r>
        <w:rPr>
          <w:rFonts w:hint="eastAsia" w:ascii="宋体" w:hAnsi="宋体"/>
          <w:b/>
          <w:szCs w:val="21"/>
        </w:rPr>
        <w:t>投标人不得存在的情形</w:t>
      </w:r>
      <w:bookmarkEnd w:id="92"/>
      <w:bookmarkEnd w:id="93"/>
      <w:bookmarkEnd w:id="94"/>
      <w:bookmarkEnd w:id="95"/>
      <w:bookmarkEnd w:id="96"/>
      <w:bookmarkEnd w:id="97"/>
    </w:p>
    <w:p>
      <w:pPr>
        <w:pStyle w:val="8"/>
        <w:tabs>
          <w:tab w:val="left" w:pos="630"/>
        </w:tabs>
        <w:snapToGrid w:val="0"/>
        <w:spacing w:line="360" w:lineRule="auto"/>
        <w:ind w:firstLine="420" w:firstLineChars="200"/>
        <w:rPr>
          <w:rFonts w:hAnsi="宋体"/>
          <w:sz w:val="21"/>
          <w:szCs w:val="21"/>
        </w:rPr>
      </w:pPr>
      <w:r>
        <w:rPr>
          <w:rFonts w:hAnsi="宋体"/>
          <w:sz w:val="21"/>
          <w:szCs w:val="21"/>
        </w:rPr>
        <w:t>1.8.1</w:t>
      </w:r>
      <w:r>
        <w:rPr>
          <w:rFonts w:hint="eastAsia" w:hAnsi="宋体"/>
          <w:sz w:val="21"/>
          <w:szCs w:val="21"/>
        </w:rPr>
        <w:t>投标人不得存在的情形见投标人须知前附表。</w:t>
      </w:r>
    </w:p>
    <w:p>
      <w:pPr>
        <w:spacing w:line="360" w:lineRule="auto"/>
        <w:outlineLvl w:val="2"/>
        <w:rPr>
          <w:rFonts w:ascii="宋体"/>
          <w:b/>
          <w:szCs w:val="21"/>
        </w:rPr>
      </w:pPr>
      <w:bookmarkStart w:id="98" w:name="_Toc226969285"/>
      <w:bookmarkStart w:id="99" w:name="_Toc447265512"/>
      <w:bookmarkStart w:id="100" w:name="_Toc8657477"/>
      <w:bookmarkStart w:id="101" w:name="_Toc107822488"/>
      <w:bookmarkStart w:id="102" w:name="_Toc227057891"/>
      <w:bookmarkStart w:id="103" w:name="_Toc447188677"/>
      <w:bookmarkStart w:id="104" w:name="_Toc10210423"/>
      <w:bookmarkStart w:id="105" w:name="_Toc11530"/>
      <w:bookmarkStart w:id="106" w:name="_Toc447265226"/>
      <w:r>
        <w:rPr>
          <w:rFonts w:ascii="宋体" w:hAnsi="宋体"/>
          <w:b/>
          <w:szCs w:val="21"/>
        </w:rPr>
        <w:t>1.9</w:t>
      </w:r>
      <w:r>
        <w:rPr>
          <w:rFonts w:hint="eastAsia" w:ascii="宋体" w:hAnsi="宋体"/>
          <w:b/>
          <w:szCs w:val="21"/>
        </w:rPr>
        <w:t>投标费用</w:t>
      </w:r>
      <w:bookmarkEnd w:id="98"/>
      <w:bookmarkEnd w:id="99"/>
      <w:bookmarkEnd w:id="100"/>
      <w:bookmarkEnd w:id="101"/>
      <w:bookmarkEnd w:id="102"/>
      <w:bookmarkEnd w:id="103"/>
      <w:bookmarkEnd w:id="104"/>
      <w:bookmarkEnd w:id="105"/>
      <w:bookmarkEnd w:id="106"/>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不论结果如何，投标人自行承担所有准备和参与投标有关的费用。</w:t>
      </w:r>
      <w:bookmarkStart w:id="107" w:name="_Toc107822489"/>
      <w:bookmarkStart w:id="108" w:name="_Toc226969286"/>
      <w:bookmarkStart w:id="109" w:name="_Toc227057892"/>
    </w:p>
    <w:p>
      <w:pPr>
        <w:spacing w:line="360" w:lineRule="auto"/>
        <w:outlineLvl w:val="2"/>
        <w:rPr>
          <w:rFonts w:ascii="宋体"/>
          <w:b/>
          <w:szCs w:val="21"/>
        </w:rPr>
      </w:pPr>
      <w:bookmarkStart w:id="110" w:name="_Toc447265227"/>
      <w:bookmarkStart w:id="111" w:name="_Toc19266"/>
      <w:bookmarkStart w:id="112" w:name="_Toc447265513"/>
      <w:bookmarkStart w:id="113" w:name="_Toc10210424"/>
      <w:bookmarkStart w:id="114" w:name="_Toc8657478"/>
      <w:r>
        <w:rPr>
          <w:rFonts w:ascii="宋体" w:hAnsi="宋体"/>
          <w:b/>
          <w:szCs w:val="21"/>
        </w:rPr>
        <w:t>1.10</w:t>
      </w:r>
      <w:r>
        <w:rPr>
          <w:rFonts w:hint="eastAsia" w:ascii="宋体" w:hAnsi="宋体"/>
          <w:b/>
          <w:szCs w:val="21"/>
        </w:rPr>
        <w:t>保密</w:t>
      </w:r>
      <w:bookmarkEnd w:id="110"/>
      <w:bookmarkEnd w:id="111"/>
      <w:bookmarkEnd w:id="112"/>
      <w:bookmarkEnd w:id="113"/>
      <w:bookmarkEnd w:id="114"/>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参与招标投标活动的各方应当对招标文件和投标文件中的商业和技术等秘密保密，违者应当对由此造成的后果承担法律责任。</w:t>
      </w:r>
    </w:p>
    <w:p>
      <w:pPr>
        <w:spacing w:line="360" w:lineRule="auto"/>
        <w:outlineLvl w:val="1"/>
        <w:rPr>
          <w:rFonts w:ascii="宋体"/>
          <w:b/>
          <w:szCs w:val="21"/>
        </w:rPr>
      </w:pPr>
      <w:bookmarkStart w:id="115" w:name="_Toc144974510"/>
      <w:bookmarkStart w:id="116" w:name="_Toc8657479"/>
      <w:bookmarkStart w:id="117" w:name="_Toc6482"/>
      <w:bookmarkStart w:id="118" w:name="_Toc296602432"/>
      <w:bookmarkStart w:id="119" w:name="_Toc247085701"/>
      <w:bookmarkStart w:id="120" w:name="_Toc447188678"/>
      <w:bookmarkStart w:id="121" w:name="_Toc179632560"/>
      <w:bookmarkStart w:id="122" w:name="_Toc246996187"/>
      <w:bookmarkStart w:id="123" w:name="_Toc447265514"/>
      <w:bookmarkStart w:id="124" w:name="_Toc10210425"/>
      <w:bookmarkStart w:id="125" w:name="_Toc152042318"/>
      <w:bookmarkStart w:id="126" w:name="_Toc447265228"/>
      <w:bookmarkStart w:id="127" w:name="_Toc152045542"/>
      <w:bookmarkStart w:id="128" w:name="_Toc246996930"/>
      <w:r>
        <w:rPr>
          <w:rFonts w:ascii="宋体" w:hAnsi="宋体"/>
          <w:b/>
          <w:szCs w:val="21"/>
        </w:rPr>
        <w:t>2.</w:t>
      </w:r>
      <w:r>
        <w:rPr>
          <w:rFonts w:hint="eastAsia" w:ascii="宋体" w:hAnsi="宋体"/>
          <w:b/>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spacing w:line="360" w:lineRule="auto"/>
        <w:outlineLvl w:val="2"/>
        <w:rPr>
          <w:rFonts w:ascii="宋体"/>
          <w:b/>
          <w:szCs w:val="21"/>
        </w:rPr>
      </w:pPr>
      <w:bookmarkStart w:id="129" w:name="_Toc8657480"/>
      <w:bookmarkStart w:id="130" w:name="_Toc10210426"/>
      <w:bookmarkStart w:id="131" w:name="_Toc447188679"/>
      <w:bookmarkStart w:id="132" w:name="_Toc4712"/>
      <w:bookmarkStart w:id="133" w:name="_Toc447265229"/>
      <w:bookmarkStart w:id="134" w:name="_Toc447265515"/>
      <w:r>
        <w:rPr>
          <w:rFonts w:ascii="宋体" w:hAnsi="宋体"/>
          <w:b/>
          <w:szCs w:val="21"/>
        </w:rPr>
        <w:t>2.1</w:t>
      </w:r>
      <w:r>
        <w:rPr>
          <w:rFonts w:hint="eastAsia" w:ascii="宋体" w:hAnsi="宋体"/>
          <w:b/>
          <w:szCs w:val="21"/>
        </w:rPr>
        <w:t>招标文件</w:t>
      </w:r>
      <w:bookmarkEnd w:id="107"/>
      <w:r>
        <w:rPr>
          <w:rFonts w:hint="eastAsia" w:ascii="宋体" w:hAnsi="宋体"/>
          <w:b/>
          <w:szCs w:val="21"/>
        </w:rPr>
        <w:t>的组成</w:t>
      </w:r>
      <w:bookmarkEnd w:id="108"/>
      <w:bookmarkEnd w:id="109"/>
      <w:bookmarkEnd w:id="129"/>
      <w:bookmarkEnd w:id="130"/>
      <w:bookmarkEnd w:id="131"/>
      <w:bookmarkEnd w:id="132"/>
      <w:bookmarkEnd w:id="133"/>
      <w:bookmarkEnd w:id="134"/>
    </w:p>
    <w:p>
      <w:pPr>
        <w:pStyle w:val="8"/>
        <w:tabs>
          <w:tab w:val="left" w:pos="630"/>
        </w:tabs>
        <w:snapToGrid w:val="0"/>
        <w:spacing w:line="360" w:lineRule="auto"/>
        <w:ind w:firstLine="420" w:firstLineChars="200"/>
        <w:rPr>
          <w:rFonts w:hAnsi="宋体"/>
          <w:sz w:val="21"/>
          <w:szCs w:val="21"/>
        </w:rPr>
      </w:pPr>
      <w:r>
        <w:rPr>
          <w:rFonts w:hAnsi="宋体"/>
          <w:sz w:val="21"/>
          <w:szCs w:val="21"/>
        </w:rPr>
        <w:t>2.1.1</w:t>
      </w:r>
      <w:r>
        <w:rPr>
          <w:rFonts w:hint="eastAsia" w:hAnsi="宋体"/>
          <w:sz w:val="21"/>
          <w:szCs w:val="21"/>
        </w:rPr>
        <w:t>招标文件一般由以下部分组成：</w:t>
      </w:r>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第一章招标公告</w:t>
      </w:r>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第二章投标人须知</w:t>
      </w:r>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第三章评标办法</w:t>
      </w:r>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第四章招标人服务需求</w:t>
      </w:r>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第五章合同条款</w:t>
      </w:r>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第六章投标文件格式</w:t>
      </w:r>
    </w:p>
    <w:p>
      <w:pPr>
        <w:pStyle w:val="8"/>
        <w:tabs>
          <w:tab w:val="left" w:pos="630"/>
        </w:tabs>
        <w:snapToGrid w:val="0"/>
        <w:spacing w:line="360" w:lineRule="auto"/>
        <w:ind w:firstLine="420" w:firstLineChars="200"/>
        <w:rPr>
          <w:rFonts w:hAnsi="宋体"/>
          <w:sz w:val="21"/>
          <w:szCs w:val="21"/>
        </w:rPr>
      </w:pPr>
      <w:r>
        <w:rPr>
          <w:rFonts w:hAnsi="宋体"/>
          <w:sz w:val="21"/>
          <w:szCs w:val="21"/>
        </w:rPr>
        <w:t>2.1.2</w:t>
      </w:r>
      <w:r>
        <w:rPr>
          <w:rFonts w:hint="eastAsia" w:hAnsi="宋体"/>
          <w:sz w:val="21"/>
          <w:szCs w:val="21"/>
        </w:rPr>
        <w:t>招标文件对同一内容的表述应当一致。第一章招标公告与招标文件在同一内容的表述上有矛盾或者冲突时，以第一章招标公告为准；投标人须知前附表与投标人须知正文在同一内容的表述上有矛盾或者冲突时，以投标人须知前附表为准。</w:t>
      </w:r>
    </w:p>
    <w:p>
      <w:pPr>
        <w:spacing w:line="360" w:lineRule="auto"/>
        <w:outlineLvl w:val="2"/>
        <w:rPr>
          <w:rFonts w:ascii="宋体"/>
          <w:b/>
          <w:szCs w:val="21"/>
        </w:rPr>
      </w:pPr>
      <w:bookmarkStart w:id="135" w:name="_Toc107822490"/>
      <w:bookmarkStart w:id="136" w:name="_Toc227057893"/>
      <w:bookmarkStart w:id="137" w:name="_Toc226969287"/>
      <w:bookmarkStart w:id="138" w:name="_Toc10210429"/>
      <w:bookmarkStart w:id="139" w:name="_Toc8657483"/>
      <w:bookmarkStart w:id="140" w:name="_Toc447265232"/>
      <w:bookmarkStart w:id="141" w:name="_Toc447188682"/>
      <w:bookmarkStart w:id="142" w:name="_Toc9474"/>
      <w:bookmarkStart w:id="143" w:name="_Toc447265518"/>
      <w:r>
        <w:rPr>
          <w:rFonts w:ascii="宋体" w:hAnsi="宋体"/>
          <w:b/>
          <w:szCs w:val="21"/>
        </w:rPr>
        <w:t>2.2</w:t>
      </w:r>
      <w:r>
        <w:rPr>
          <w:rFonts w:hint="eastAsia" w:ascii="宋体" w:hAnsi="宋体"/>
          <w:b/>
          <w:szCs w:val="21"/>
        </w:rPr>
        <w:t>招标文件的澄清</w:t>
      </w:r>
      <w:bookmarkEnd w:id="135"/>
      <w:bookmarkEnd w:id="136"/>
      <w:bookmarkEnd w:id="137"/>
      <w:r>
        <w:rPr>
          <w:rFonts w:hint="eastAsia" w:ascii="宋体" w:hAnsi="宋体"/>
          <w:b/>
          <w:szCs w:val="21"/>
        </w:rPr>
        <w:t>和修改</w:t>
      </w:r>
      <w:bookmarkEnd w:id="138"/>
      <w:bookmarkEnd w:id="139"/>
      <w:bookmarkEnd w:id="140"/>
      <w:bookmarkEnd w:id="141"/>
      <w:bookmarkEnd w:id="142"/>
      <w:bookmarkEnd w:id="143"/>
    </w:p>
    <w:p>
      <w:pPr>
        <w:pStyle w:val="8"/>
        <w:tabs>
          <w:tab w:val="left" w:pos="630"/>
        </w:tabs>
        <w:snapToGrid w:val="0"/>
        <w:spacing w:line="360" w:lineRule="auto"/>
        <w:ind w:firstLine="420" w:firstLineChars="200"/>
        <w:rPr>
          <w:rFonts w:hAnsi="宋体"/>
          <w:sz w:val="21"/>
          <w:szCs w:val="21"/>
        </w:rPr>
      </w:pPr>
      <w:bookmarkStart w:id="144" w:name="_Toc246996191"/>
      <w:bookmarkStart w:id="145" w:name="_Toc447188683"/>
      <w:bookmarkStart w:id="146" w:name="_Toc447265519"/>
      <w:bookmarkStart w:id="147" w:name="_Toc246996934"/>
      <w:bookmarkStart w:id="148" w:name="_Toc152042322"/>
      <w:bookmarkStart w:id="149" w:name="_Toc247085705"/>
      <w:bookmarkStart w:id="150" w:name="_Toc152045546"/>
      <w:bookmarkStart w:id="151" w:name="_Toc179632564"/>
      <w:bookmarkStart w:id="152" w:name="_Toc447265233"/>
      <w:bookmarkStart w:id="153" w:name="_Toc296602436"/>
      <w:bookmarkStart w:id="154" w:name="_Toc144974514"/>
      <w:bookmarkStart w:id="155" w:name="_Toc227057895"/>
      <w:bookmarkStart w:id="156" w:name="_Toc226969289"/>
      <w:bookmarkStart w:id="157" w:name="_Toc107822492"/>
      <w:r>
        <w:rPr>
          <w:rFonts w:hAnsi="宋体"/>
          <w:sz w:val="21"/>
          <w:szCs w:val="21"/>
        </w:rPr>
        <w:t>2.2.1</w:t>
      </w:r>
      <w:r>
        <w:rPr>
          <w:rFonts w:hint="eastAsia" w:hAnsi="宋体"/>
          <w:sz w:val="21"/>
          <w:szCs w:val="21"/>
        </w:rPr>
        <w:t>投标人对招标文件有疑问的，应当按照投标人须知前附表规定的时间和方式，要求招标人对招标文件进行澄清。</w:t>
      </w:r>
    </w:p>
    <w:p>
      <w:pPr>
        <w:pStyle w:val="8"/>
        <w:tabs>
          <w:tab w:val="left" w:pos="630"/>
        </w:tabs>
        <w:snapToGrid w:val="0"/>
        <w:spacing w:line="360" w:lineRule="auto"/>
        <w:ind w:firstLine="420" w:firstLineChars="200"/>
        <w:rPr>
          <w:rFonts w:hAnsi="宋体"/>
          <w:sz w:val="21"/>
          <w:szCs w:val="21"/>
        </w:rPr>
      </w:pPr>
      <w:r>
        <w:rPr>
          <w:rFonts w:hAnsi="宋体"/>
          <w:sz w:val="21"/>
          <w:szCs w:val="21"/>
        </w:rPr>
        <w:t>2.2.2</w:t>
      </w:r>
      <w:r>
        <w:rPr>
          <w:rFonts w:hint="eastAsia" w:hAnsi="宋体"/>
          <w:sz w:val="21"/>
          <w:szCs w:val="21"/>
        </w:rPr>
        <w:t>招标人应当按照投标人须知前附表规定的时间和方式，将澄清或者修改内容发给所有购买招标文件的投标人，但不指明问题的来源。</w:t>
      </w:r>
    </w:p>
    <w:p>
      <w:pPr>
        <w:pStyle w:val="8"/>
        <w:tabs>
          <w:tab w:val="left" w:pos="630"/>
        </w:tabs>
        <w:snapToGrid w:val="0"/>
        <w:spacing w:line="360" w:lineRule="auto"/>
        <w:ind w:firstLine="420" w:firstLineChars="200"/>
        <w:rPr>
          <w:rFonts w:hAnsi="宋体"/>
          <w:sz w:val="21"/>
          <w:szCs w:val="21"/>
        </w:rPr>
      </w:pPr>
      <w:r>
        <w:rPr>
          <w:rFonts w:hAnsi="宋体"/>
          <w:sz w:val="21"/>
          <w:szCs w:val="21"/>
        </w:rPr>
        <w:t>2.2.3</w:t>
      </w:r>
      <w:r>
        <w:rPr>
          <w:rFonts w:hint="eastAsia" w:hAnsi="宋体"/>
          <w:sz w:val="21"/>
          <w:szCs w:val="21"/>
        </w:rPr>
        <w:t>如澄清或者修改的内容可能影响投标文件编制的，招标人应当相应顺延投标截止时间。</w:t>
      </w:r>
    </w:p>
    <w:p>
      <w:pPr>
        <w:pStyle w:val="8"/>
        <w:tabs>
          <w:tab w:val="left" w:pos="630"/>
        </w:tabs>
        <w:snapToGrid w:val="0"/>
        <w:spacing w:line="360" w:lineRule="auto"/>
        <w:ind w:firstLine="420" w:firstLineChars="200"/>
        <w:rPr>
          <w:rFonts w:hAnsi="宋体"/>
          <w:sz w:val="21"/>
          <w:szCs w:val="21"/>
        </w:rPr>
      </w:pPr>
      <w:r>
        <w:rPr>
          <w:rFonts w:hAnsi="宋体"/>
          <w:sz w:val="21"/>
          <w:szCs w:val="21"/>
        </w:rPr>
        <w:t>2.2.4</w:t>
      </w:r>
      <w:r>
        <w:rPr>
          <w:rFonts w:hint="eastAsia" w:hAnsi="宋体"/>
          <w:sz w:val="21"/>
          <w:szCs w:val="21"/>
        </w:rPr>
        <w:t>投标人收到澄清或者修改后，应当通知招标人，确认已收到该澄清或者修改。</w:t>
      </w:r>
    </w:p>
    <w:p>
      <w:pPr>
        <w:pStyle w:val="8"/>
        <w:tabs>
          <w:tab w:val="left" w:pos="630"/>
        </w:tabs>
        <w:snapToGrid w:val="0"/>
        <w:spacing w:line="360" w:lineRule="auto"/>
        <w:ind w:firstLine="420" w:firstLineChars="200"/>
        <w:rPr>
          <w:rFonts w:hAnsi="宋体"/>
          <w:sz w:val="21"/>
          <w:szCs w:val="21"/>
        </w:rPr>
      </w:pPr>
      <w:r>
        <w:rPr>
          <w:rFonts w:hAnsi="宋体"/>
          <w:sz w:val="21"/>
          <w:szCs w:val="21"/>
        </w:rPr>
        <w:t>2.2.5</w:t>
      </w:r>
      <w:r>
        <w:rPr>
          <w:rFonts w:hint="eastAsia" w:hAnsi="宋体"/>
          <w:sz w:val="21"/>
          <w:szCs w:val="21"/>
        </w:rPr>
        <w:t>所有关于招标文件的澄清和修改均作为招标文件的补充部分。当招标文件、招标文件的澄清或者修改等在同一内容的表述上不一致时，以最后发出的文件为准。</w:t>
      </w:r>
    </w:p>
    <w:p>
      <w:pPr>
        <w:spacing w:line="360" w:lineRule="auto"/>
        <w:outlineLvl w:val="1"/>
        <w:rPr>
          <w:rFonts w:ascii="宋体"/>
          <w:b/>
          <w:szCs w:val="21"/>
        </w:rPr>
      </w:pPr>
      <w:bookmarkStart w:id="158" w:name="_Toc15500"/>
      <w:bookmarkStart w:id="159" w:name="_Toc8657484"/>
      <w:bookmarkStart w:id="160" w:name="_Toc10210430"/>
      <w:r>
        <w:rPr>
          <w:rFonts w:ascii="宋体" w:hAnsi="宋体"/>
          <w:b/>
          <w:szCs w:val="21"/>
        </w:rPr>
        <w:t>3.</w:t>
      </w:r>
      <w:r>
        <w:rPr>
          <w:rFonts w:hint="eastAsia" w:ascii="宋体" w:hAnsi="宋体"/>
          <w:b/>
          <w:szCs w:val="21"/>
        </w:rPr>
        <w:t>投标文件</w:t>
      </w:r>
      <w:bookmarkEnd w:id="144"/>
      <w:bookmarkEnd w:id="145"/>
      <w:bookmarkEnd w:id="146"/>
      <w:bookmarkEnd w:id="147"/>
      <w:bookmarkEnd w:id="148"/>
      <w:bookmarkEnd w:id="149"/>
      <w:bookmarkEnd w:id="150"/>
      <w:bookmarkEnd w:id="151"/>
      <w:bookmarkEnd w:id="152"/>
      <w:bookmarkEnd w:id="153"/>
      <w:bookmarkEnd w:id="154"/>
      <w:bookmarkEnd w:id="158"/>
      <w:bookmarkEnd w:id="159"/>
      <w:bookmarkEnd w:id="160"/>
    </w:p>
    <w:bookmarkEnd w:id="32"/>
    <w:bookmarkEnd w:id="155"/>
    <w:bookmarkEnd w:id="156"/>
    <w:bookmarkEnd w:id="157"/>
    <w:p>
      <w:pPr>
        <w:spacing w:line="360" w:lineRule="auto"/>
        <w:outlineLvl w:val="2"/>
        <w:rPr>
          <w:rFonts w:ascii="宋体"/>
          <w:b/>
          <w:szCs w:val="21"/>
        </w:rPr>
      </w:pPr>
      <w:bookmarkStart w:id="161" w:name="_Toc107822493"/>
      <w:bookmarkStart w:id="162" w:name="_Toc227057896"/>
      <w:bookmarkStart w:id="163" w:name="_Toc226969290"/>
      <w:bookmarkStart w:id="164" w:name="_Toc447265234"/>
      <w:bookmarkStart w:id="165" w:name="_Toc447265520"/>
      <w:bookmarkStart w:id="166" w:name="_Toc447188684"/>
      <w:bookmarkStart w:id="167" w:name="_Toc450489293"/>
      <w:bookmarkStart w:id="168" w:name="_Toc8657485"/>
      <w:bookmarkStart w:id="169" w:name="_Toc10210431"/>
      <w:bookmarkStart w:id="170" w:name="_Toc27929"/>
      <w:bookmarkStart w:id="171" w:name="_Toc184635074"/>
      <w:bookmarkStart w:id="172" w:name="_Toc447265242"/>
      <w:bookmarkStart w:id="173" w:name="_Toc447265528"/>
      <w:bookmarkStart w:id="174" w:name="_Toc488655848"/>
      <w:bookmarkStart w:id="175" w:name="_Toc107822503"/>
      <w:bookmarkStart w:id="176" w:name="_Toc227057906"/>
      <w:bookmarkStart w:id="177" w:name="_Toc226969300"/>
      <w:r>
        <w:rPr>
          <w:rFonts w:ascii="宋体" w:hAnsi="宋体"/>
          <w:b/>
          <w:szCs w:val="21"/>
        </w:rPr>
        <w:t>3.1</w:t>
      </w:r>
      <w:r>
        <w:rPr>
          <w:rFonts w:hint="eastAsia" w:ascii="宋体" w:hAnsi="宋体"/>
          <w:b/>
          <w:szCs w:val="21"/>
        </w:rPr>
        <w:t>投标文件的</w:t>
      </w:r>
      <w:bookmarkEnd w:id="161"/>
      <w:bookmarkEnd w:id="162"/>
      <w:bookmarkEnd w:id="163"/>
      <w:r>
        <w:rPr>
          <w:rFonts w:hint="eastAsia" w:ascii="宋体" w:hAnsi="宋体"/>
          <w:b/>
          <w:szCs w:val="21"/>
        </w:rPr>
        <w:t>组成</w:t>
      </w:r>
      <w:bookmarkEnd w:id="164"/>
      <w:bookmarkEnd w:id="165"/>
      <w:bookmarkEnd w:id="166"/>
      <w:bookmarkEnd w:id="167"/>
      <w:bookmarkEnd w:id="168"/>
      <w:bookmarkEnd w:id="169"/>
      <w:bookmarkEnd w:id="170"/>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投标人应当按照投标人须知前附表的要求制作并递交投标文件。投标文件组成见第六章投标文件格式。</w:t>
      </w:r>
    </w:p>
    <w:p>
      <w:pPr>
        <w:spacing w:line="360" w:lineRule="auto"/>
        <w:outlineLvl w:val="2"/>
        <w:rPr>
          <w:rFonts w:ascii="宋体"/>
          <w:b/>
          <w:szCs w:val="21"/>
        </w:rPr>
      </w:pPr>
      <w:bookmarkStart w:id="178" w:name="_Toc1639"/>
      <w:bookmarkStart w:id="179" w:name="_Toc10210432"/>
      <w:bookmarkStart w:id="180" w:name="_Toc447188685"/>
      <w:bookmarkStart w:id="181" w:name="_Toc450489294"/>
      <w:bookmarkStart w:id="182" w:name="_Toc447265235"/>
      <w:bookmarkStart w:id="183" w:name="_Toc447265521"/>
      <w:bookmarkStart w:id="184" w:name="_Toc8657486"/>
      <w:r>
        <w:rPr>
          <w:rFonts w:ascii="宋体" w:hAnsi="宋体"/>
          <w:b/>
          <w:szCs w:val="21"/>
        </w:rPr>
        <w:t>3.2</w:t>
      </w:r>
      <w:r>
        <w:rPr>
          <w:rFonts w:hint="eastAsia" w:ascii="宋体" w:hAnsi="宋体"/>
          <w:b/>
          <w:szCs w:val="21"/>
        </w:rPr>
        <w:t>投标文件的编制</w:t>
      </w:r>
      <w:bookmarkEnd w:id="178"/>
      <w:bookmarkEnd w:id="179"/>
      <w:bookmarkEnd w:id="180"/>
      <w:bookmarkEnd w:id="181"/>
      <w:bookmarkEnd w:id="182"/>
      <w:bookmarkEnd w:id="183"/>
      <w:bookmarkEnd w:id="184"/>
    </w:p>
    <w:p>
      <w:pPr>
        <w:pStyle w:val="8"/>
        <w:tabs>
          <w:tab w:val="left" w:pos="630"/>
        </w:tabs>
        <w:snapToGrid w:val="0"/>
        <w:spacing w:line="360" w:lineRule="auto"/>
        <w:ind w:firstLine="420" w:firstLineChars="200"/>
        <w:rPr>
          <w:rFonts w:hAnsi="宋体"/>
          <w:sz w:val="21"/>
          <w:szCs w:val="21"/>
        </w:rPr>
      </w:pPr>
      <w:r>
        <w:rPr>
          <w:rFonts w:hAnsi="宋体"/>
          <w:sz w:val="21"/>
          <w:szCs w:val="21"/>
        </w:rPr>
        <w:t>3.2.1</w:t>
      </w:r>
      <w:r>
        <w:rPr>
          <w:rFonts w:hint="eastAsia" w:hAnsi="宋体"/>
          <w:sz w:val="21"/>
          <w:szCs w:val="21"/>
        </w:rPr>
        <w:t>投标人应当按照招标文件的要求编制投标文件，投标文件应当对招标文件提出的实质性要求和条件作出响应。</w:t>
      </w:r>
    </w:p>
    <w:p>
      <w:pPr>
        <w:pStyle w:val="8"/>
        <w:tabs>
          <w:tab w:val="left" w:pos="630"/>
        </w:tabs>
        <w:snapToGrid w:val="0"/>
        <w:spacing w:line="360" w:lineRule="auto"/>
        <w:ind w:firstLine="420" w:firstLineChars="200"/>
        <w:rPr>
          <w:rFonts w:hAnsi="宋体"/>
          <w:sz w:val="21"/>
          <w:szCs w:val="21"/>
        </w:rPr>
      </w:pPr>
      <w:r>
        <w:rPr>
          <w:rFonts w:hAnsi="宋体"/>
          <w:sz w:val="21"/>
          <w:szCs w:val="21"/>
        </w:rPr>
        <w:t>3.2.2</w:t>
      </w:r>
      <w:r>
        <w:rPr>
          <w:rFonts w:hint="eastAsia" w:hAnsi="宋体"/>
          <w:sz w:val="21"/>
          <w:szCs w:val="21"/>
        </w:rPr>
        <w:t>投标人应当认真阅读招标文件中所有的事项、格式、条款和技术规范等。投标人没有按照招标文件要求递交全部资料或者投标人没有对招标文件在各方面都作出实质性响应是投标人的风险，并可能导致其投标被否决。</w:t>
      </w:r>
    </w:p>
    <w:p>
      <w:pPr>
        <w:pStyle w:val="8"/>
        <w:tabs>
          <w:tab w:val="left" w:pos="630"/>
        </w:tabs>
        <w:snapToGrid w:val="0"/>
        <w:spacing w:line="360" w:lineRule="auto"/>
        <w:ind w:firstLine="420" w:firstLineChars="200"/>
        <w:rPr>
          <w:rFonts w:hAnsi="宋体"/>
          <w:sz w:val="21"/>
          <w:szCs w:val="21"/>
        </w:rPr>
      </w:pPr>
      <w:r>
        <w:rPr>
          <w:rFonts w:hAnsi="宋体"/>
          <w:sz w:val="21"/>
          <w:szCs w:val="21"/>
        </w:rPr>
        <w:t>3.2.3</w:t>
      </w:r>
      <w:r>
        <w:rPr>
          <w:rFonts w:hint="eastAsia" w:hAnsi="宋体"/>
          <w:sz w:val="21"/>
          <w:szCs w:val="21"/>
        </w:rPr>
        <w:t>投标人递交的投标文件以及投标人与招标人就有关投标的所有往来函电均应当使用中文。投标人递交的证明文件和文献可以使用另一种语言，但相应内容应当译成中文，在解释投标文件时以中文译本为准。</w:t>
      </w:r>
    </w:p>
    <w:p>
      <w:pPr>
        <w:pStyle w:val="8"/>
        <w:tabs>
          <w:tab w:val="left" w:pos="630"/>
        </w:tabs>
        <w:snapToGrid w:val="0"/>
        <w:spacing w:line="360" w:lineRule="auto"/>
        <w:ind w:firstLine="424" w:firstLineChars="202"/>
        <w:rPr>
          <w:rFonts w:hAnsi="宋体"/>
          <w:sz w:val="21"/>
          <w:szCs w:val="21"/>
        </w:rPr>
      </w:pPr>
      <w:r>
        <w:rPr>
          <w:rFonts w:hAnsi="宋体"/>
          <w:sz w:val="21"/>
          <w:szCs w:val="21"/>
        </w:rPr>
        <w:t>3.2.4</w:t>
      </w:r>
      <w:r>
        <w:rPr>
          <w:rFonts w:hint="eastAsia" w:hAnsi="宋体"/>
          <w:sz w:val="21"/>
          <w:szCs w:val="21"/>
        </w:rPr>
        <w:t>投标文件应当使用不褪色的材料书写或者打印，并加盖单位公章，由投标人的法定代表人或者其委托代理人签字或盖章的，投标文件应当附《法定代表人身份证明》和法定代表人签署的《法定代表人授权委托书》。投标文件应当尽量避免涂改、行间插字或者删除。如果出现上述情况，改动之处应当加盖单位公章或者由投标人的法定代表人或者其委托代理人签字确认。</w:t>
      </w:r>
    </w:p>
    <w:p>
      <w:pPr>
        <w:spacing w:line="360" w:lineRule="auto"/>
        <w:outlineLvl w:val="2"/>
        <w:rPr>
          <w:rFonts w:ascii="宋体"/>
          <w:b/>
          <w:szCs w:val="21"/>
        </w:rPr>
      </w:pPr>
      <w:bookmarkStart w:id="185" w:name="_Toc8657487"/>
      <w:bookmarkStart w:id="186" w:name="_Toc450489295"/>
      <w:bookmarkStart w:id="187" w:name="_Toc18512"/>
      <w:bookmarkStart w:id="188" w:name="_Toc226969292"/>
      <w:bookmarkStart w:id="189" w:name="_Toc10210433"/>
      <w:bookmarkStart w:id="190" w:name="_Toc447265522"/>
      <w:bookmarkStart w:id="191" w:name="_Toc447265236"/>
      <w:bookmarkStart w:id="192" w:name="_Toc447188686"/>
      <w:bookmarkStart w:id="193" w:name="_Toc107822495"/>
      <w:bookmarkStart w:id="194" w:name="_Toc227057898"/>
      <w:r>
        <w:rPr>
          <w:rFonts w:ascii="宋体" w:hAnsi="宋体"/>
          <w:b/>
          <w:szCs w:val="21"/>
        </w:rPr>
        <w:t>3.3</w:t>
      </w:r>
      <w:r>
        <w:rPr>
          <w:rFonts w:hint="eastAsia" w:ascii="宋体" w:hAnsi="宋体"/>
          <w:b/>
          <w:szCs w:val="21"/>
        </w:rPr>
        <w:t>投标报价</w:t>
      </w:r>
      <w:bookmarkEnd w:id="185"/>
      <w:bookmarkEnd w:id="186"/>
      <w:bookmarkEnd w:id="187"/>
      <w:bookmarkEnd w:id="188"/>
      <w:bookmarkEnd w:id="189"/>
      <w:bookmarkEnd w:id="190"/>
      <w:bookmarkEnd w:id="191"/>
      <w:bookmarkEnd w:id="192"/>
      <w:bookmarkEnd w:id="193"/>
      <w:bookmarkEnd w:id="194"/>
    </w:p>
    <w:p>
      <w:pPr>
        <w:pStyle w:val="8"/>
        <w:tabs>
          <w:tab w:val="left" w:pos="630"/>
        </w:tabs>
        <w:snapToGrid w:val="0"/>
        <w:spacing w:line="360" w:lineRule="auto"/>
        <w:ind w:firstLine="420" w:firstLineChars="200"/>
        <w:rPr>
          <w:rFonts w:hAnsi="宋体"/>
          <w:sz w:val="21"/>
          <w:szCs w:val="21"/>
        </w:rPr>
      </w:pPr>
      <w:r>
        <w:rPr>
          <w:rFonts w:hAnsi="宋体"/>
          <w:sz w:val="21"/>
          <w:szCs w:val="21"/>
        </w:rPr>
        <w:t>3.3.1</w:t>
      </w:r>
      <w:r>
        <w:rPr>
          <w:rFonts w:hint="eastAsia" w:hAnsi="宋体"/>
          <w:sz w:val="21"/>
          <w:szCs w:val="21"/>
        </w:rPr>
        <w:t>投标人应当根据招标文件要求进行报价，投标人应当报出符合招标文件要求的拟提供服务总价。</w:t>
      </w:r>
      <w:r>
        <w:rPr>
          <w:rFonts w:hint="eastAsia" w:hAnsi="宋体" w:cs="宋体"/>
          <w:sz w:val="21"/>
          <w:szCs w:val="21"/>
        </w:rPr>
        <w:t>投标报价中必须包含完成本项目所产生的一切费用，招标人不再支付投标报价之外的任何费用。（工程所必须的各类评审费、设备费、采样费、分析费、人工费用、材料费、食宿费、资料费及税金等），费用不管是否在投标报价表中单列，均视为投标总价中已包括该费用。</w:t>
      </w:r>
    </w:p>
    <w:p>
      <w:pPr>
        <w:pStyle w:val="8"/>
        <w:tabs>
          <w:tab w:val="left" w:pos="630"/>
        </w:tabs>
        <w:snapToGrid w:val="0"/>
        <w:spacing w:line="360" w:lineRule="auto"/>
        <w:ind w:firstLine="420" w:firstLineChars="200"/>
        <w:rPr>
          <w:rFonts w:hAnsi="宋体"/>
          <w:sz w:val="21"/>
          <w:szCs w:val="21"/>
        </w:rPr>
      </w:pPr>
      <w:r>
        <w:rPr>
          <w:rFonts w:hAnsi="宋体"/>
          <w:sz w:val="21"/>
          <w:szCs w:val="21"/>
        </w:rPr>
        <w:t>3.3.2</w:t>
      </w:r>
      <w:r>
        <w:rPr>
          <w:rFonts w:hint="eastAsia" w:hAnsi="宋体"/>
          <w:sz w:val="21"/>
          <w:szCs w:val="21"/>
        </w:rPr>
        <w:t>投标货币：人民币。</w:t>
      </w:r>
    </w:p>
    <w:p>
      <w:pPr>
        <w:pStyle w:val="8"/>
        <w:tabs>
          <w:tab w:val="left" w:pos="630"/>
        </w:tabs>
        <w:snapToGrid w:val="0"/>
        <w:spacing w:line="360" w:lineRule="auto"/>
        <w:ind w:firstLine="420" w:firstLineChars="200"/>
        <w:rPr>
          <w:rFonts w:hAnsi="宋体"/>
          <w:sz w:val="21"/>
          <w:szCs w:val="21"/>
        </w:rPr>
      </w:pPr>
      <w:r>
        <w:rPr>
          <w:rFonts w:hAnsi="宋体"/>
          <w:sz w:val="21"/>
          <w:szCs w:val="21"/>
        </w:rPr>
        <w:t>3.3.3</w:t>
      </w:r>
      <w:r>
        <w:rPr>
          <w:rFonts w:hint="eastAsia" w:hAnsi="宋体"/>
          <w:sz w:val="21"/>
          <w:szCs w:val="21"/>
        </w:rPr>
        <w:t>招标人设有最高投标限价的，投标人的投标报价不得超过最高投标限价，否则其投标将被否决。最高投标限价或者其计算方法见投标人须知前附表。</w:t>
      </w:r>
    </w:p>
    <w:p>
      <w:pPr>
        <w:pStyle w:val="8"/>
        <w:tabs>
          <w:tab w:val="left" w:pos="630"/>
        </w:tabs>
        <w:snapToGrid w:val="0"/>
        <w:spacing w:line="360" w:lineRule="auto"/>
        <w:ind w:firstLine="420" w:firstLineChars="200"/>
        <w:rPr>
          <w:rFonts w:hAnsi="宋体"/>
          <w:sz w:val="21"/>
          <w:szCs w:val="21"/>
        </w:rPr>
      </w:pPr>
      <w:r>
        <w:rPr>
          <w:rFonts w:hAnsi="宋体"/>
          <w:sz w:val="21"/>
          <w:szCs w:val="21"/>
        </w:rPr>
        <w:t>3.3.4</w:t>
      </w:r>
      <w:r>
        <w:rPr>
          <w:rFonts w:hint="eastAsia" w:hAnsi="宋体"/>
          <w:sz w:val="21"/>
          <w:szCs w:val="21"/>
        </w:rPr>
        <w:t>招标人不接受投标人的任何低于成本报价的不正当竞争方式。</w:t>
      </w:r>
    </w:p>
    <w:p>
      <w:pPr>
        <w:pStyle w:val="8"/>
        <w:tabs>
          <w:tab w:val="left" w:pos="630"/>
        </w:tabs>
        <w:snapToGrid w:val="0"/>
        <w:spacing w:line="360" w:lineRule="auto"/>
        <w:ind w:firstLine="420" w:firstLineChars="200"/>
        <w:rPr>
          <w:rFonts w:hAnsi="宋体"/>
          <w:sz w:val="21"/>
          <w:szCs w:val="21"/>
        </w:rPr>
      </w:pPr>
      <w:r>
        <w:rPr>
          <w:rFonts w:hAnsi="宋体"/>
          <w:sz w:val="21"/>
          <w:szCs w:val="21"/>
        </w:rPr>
        <w:t>3.3.</w:t>
      </w:r>
      <w:r>
        <w:rPr>
          <w:rFonts w:hint="eastAsia" w:hAnsi="宋体"/>
          <w:sz w:val="21"/>
          <w:szCs w:val="21"/>
        </w:rPr>
        <w:t>5投标报价的具体要求见投标人须知前附表。</w:t>
      </w:r>
    </w:p>
    <w:p>
      <w:pPr>
        <w:spacing w:line="360" w:lineRule="auto"/>
        <w:outlineLvl w:val="2"/>
        <w:rPr>
          <w:rFonts w:ascii="宋体"/>
          <w:b/>
          <w:szCs w:val="21"/>
        </w:rPr>
      </w:pPr>
      <w:bookmarkStart w:id="195" w:name="_Toc10210434"/>
      <w:bookmarkStart w:id="196" w:name="_Toc447265523"/>
      <w:bookmarkStart w:id="197" w:name="_Toc107822500"/>
      <w:bookmarkStart w:id="198" w:name="_Toc227057902"/>
      <w:bookmarkStart w:id="199" w:name="_Toc447265237"/>
      <w:bookmarkStart w:id="200" w:name="_Toc27913"/>
      <w:bookmarkStart w:id="201" w:name="_Toc447188687"/>
      <w:bookmarkStart w:id="202" w:name="_Toc8657488"/>
      <w:bookmarkStart w:id="203" w:name="_Toc450489296"/>
      <w:bookmarkStart w:id="204" w:name="_Toc226969296"/>
      <w:bookmarkStart w:id="205" w:name="_Toc107822499"/>
      <w:bookmarkStart w:id="206" w:name="_Toc227057901"/>
      <w:bookmarkStart w:id="207" w:name="_Toc226969295"/>
      <w:r>
        <w:rPr>
          <w:rFonts w:ascii="宋体" w:hAnsi="宋体"/>
          <w:b/>
          <w:szCs w:val="21"/>
        </w:rPr>
        <w:t>3.4</w:t>
      </w:r>
      <w:r>
        <w:rPr>
          <w:rFonts w:hint="eastAsia" w:ascii="宋体" w:hAnsi="宋体"/>
          <w:b/>
          <w:szCs w:val="21"/>
        </w:rPr>
        <w:t>投标有效期</w:t>
      </w:r>
      <w:bookmarkEnd w:id="195"/>
      <w:bookmarkEnd w:id="196"/>
      <w:bookmarkEnd w:id="197"/>
      <w:bookmarkEnd w:id="198"/>
      <w:bookmarkEnd w:id="199"/>
      <w:bookmarkEnd w:id="200"/>
      <w:bookmarkEnd w:id="201"/>
      <w:bookmarkEnd w:id="202"/>
      <w:bookmarkEnd w:id="203"/>
      <w:bookmarkEnd w:id="204"/>
    </w:p>
    <w:p>
      <w:pPr>
        <w:pStyle w:val="8"/>
        <w:tabs>
          <w:tab w:val="left" w:pos="630"/>
        </w:tabs>
        <w:snapToGrid w:val="0"/>
        <w:spacing w:line="360" w:lineRule="auto"/>
        <w:ind w:firstLine="420" w:firstLineChars="200"/>
        <w:rPr>
          <w:rFonts w:hAnsi="宋体"/>
          <w:sz w:val="21"/>
          <w:szCs w:val="21"/>
        </w:rPr>
      </w:pPr>
      <w:r>
        <w:rPr>
          <w:rFonts w:hAnsi="宋体"/>
          <w:sz w:val="21"/>
          <w:szCs w:val="21"/>
        </w:rPr>
        <w:t>3.4.1</w:t>
      </w:r>
      <w:r>
        <w:rPr>
          <w:rFonts w:hint="eastAsia" w:hAnsi="宋体"/>
          <w:sz w:val="21"/>
          <w:szCs w:val="21"/>
        </w:rPr>
        <w:t>投标有效期从递交投标文件截止日起计算。投标有效期的具体时间见投标人须知前附表。在此期间，投标人不得要求撤销或者修改其投标文件。投标有效期不满足招标文件要求的投标将被否决。</w:t>
      </w:r>
    </w:p>
    <w:p>
      <w:pPr>
        <w:pStyle w:val="8"/>
        <w:tabs>
          <w:tab w:val="left" w:pos="630"/>
        </w:tabs>
        <w:snapToGrid w:val="0"/>
        <w:spacing w:line="360" w:lineRule="auto"/>
        <w:ind w:firstLine="420" w:firstLineChars="200"/>
        <w:rPr>
          <w:rFonts w:hAnsi="宋体"/>
          <w:sz w:val="21"/>
          <w:szCs w:val="21"/>
        </w:rPr>
      </w:pPr>
      <w:r>
        <w:rPr>
          <w:rFonts w:hAnsi="宋体"/>
          <w:sz w:val="21"/>
          <w:szCs w:val="21"/>
        </w:rPr>
        <w:t>3.4.2</w:t>
      </w:r>
      <w:r>
        <w:rPr>
          <w:rFonts w:hint="eastAsia" w:hAnsi="宋体"/>
          <w:sz w:val="21"/>
          <w:szCs w:val="21"/>
        </w:rPr>
        <w:t>在原定投标有效期满之前，如果出现特殊情况，招标人决定延长投标有效期的，应当以书面形式向投标人提出延长投标有效期的要求，投标人须以书面形式予以答复。投标人同意延长投标有效期的，不得修改其投标文件的实质性内容，但应当相应延长其投标保证金有效期；投标人拒绝延长投标有效期的，其投标失效。</w:t>
      </w:r>
    </w:p>
    <w:p>
      <w:pPr>
        <w:spacing w:line="360" w:lineRule="auto"/>
        <w:outlineLvl w:val="2"/>
        <w:rPr>
          <w:rFonts w:ascii="宋体"/>
          <w:b/>
          <w:szCs w:val="21"/>
        </w:rPr>
      </w:pPr>
      <w:bookmarkStart w:id="208" w:name="_Toc8657489"/>
      <w:bookmarkStart w:id="209" w:name="_Toc17330"/>
      <w:bookmarkStart w:id="210" w:name="_Toc447265238"/>
      <w:bookmarkStart w:id="211" w:name="_Toc450489297"/>
      <w:bookmarkStart w:id="212" w:name="_Toc10210435"/>
      <w:bookmarkStart w:id="213" w:name="_Toc447188688"/>
      <w:bookmarkStart w:id="214" w:name="_Toc447265524"/>
      <w:r>
        <w:rPr>
          <w:rFonts w:ascii="宋体" w:hAnsi="宋体"/>
          <w:b/>
          <w:szCs w:val="21"/>
        </w:rPr>
        <w:t>3.5</w:t>
      </w:r>
      <w:r>
        <w:rPr>
          <w:rFonts w:hint="eastAsia" w:ascii="宋体" w:hAnsi="宋体"/>
          <w:b/>
          <w:szCs w:val="21"/>
        </w:rPr>
        <w:t>投标保证金</w:t>
      </w:r>
      <w:bookmarkEnd w:id="205"/>
      <w:bookmarkEnd w:id="206"/>
      <w:bookmarkEnd w:id="207"/>
      <w:bookmarkEnd w:id="208"/>
      <w:bookmarkEnd w:id="209"/>
      <w:bookmarkEnd w:id="210"/>
      <w:bookmarkEnd w:id="211"/>
      <w:bookmarkEnd w:id="212"/>
      <w:bookmarkEnd w:id="213"/>
      <w:bookmarkEnd w:id="214"/>
      <w:r>
        <w:rPr>
          <w:rFonts w:hint="eastAsia" w:ascii="宋体" w:hAnsi="宋体"/>
          <w:b/>
          <w:szCs w:val="21"/>
        </w:rPr>
        <w:t>：不收取</w:t>
      </w:r>
    </w:p>
    <w:p>
      <w:pPr>
        <w:spacing w:line="360" w:lineRule="auto"/>
        <w:outlineLvl w:val="2"/>
        <w:rPr>
          <w:rFonts w:ascii="宋体"/>
          <w:b/>
          <w:szCs w:val="21"/>
        </w:rPr>
      </w:pPr>
      <w:bookmarkStart w:id="215" w:name="_Toc107822501"/>
      <w:bookmarkStart w:id="216" w:name="_Toc227057904"/>
      <w:bookmarkStart w:id="217" w:name="_Toc226969298"/>
      <w:bookmarkStart w:id="218" w:name="_Toc450489299"/>
      <w:bookmarkStart w:id="219" w:name="_Toc9381"/>
      <w:bookmarkStart w:id="220" w:name="_Toc447265526"/>
      <w:bookmarkStart w:id="221" w:name="_Toc8657491"/>
      <w:bookmarkStart w:id="222" w:name="_Toc10210437"/>
      <w:bookmarkStart w:id="223" w:name="_Toc447265240"/>
      <w:bookmarkStart w:id="224" w:name="_Toc447188690"/>
      <w:r>
        <w:rPr>
          <w:rFonts w:ascii="宋体" w:hAnsi="宋体"/>
          <w:b/>
          <w:szCs w:val="21"/>
        </w:rPr>
        <w:t>3.</w:t>
      </w:r>
      <w:r>
        <w:rPr>
          <w:rFonts w:hint="eastAsia" w:ascii="宋体" w:hAnsi="宋体"/>
          <w:b/>
          <w:szCs w:val="21"/>
        </w:rPr>
        <w:t>6投标文件的式样</w:t>
      </w:r>
      <w:bookmarkEnd w:id="215"/>
      <w:bookmarkEnd w:id="216"/>
      <w:bookmarkEnd w:id="217"/>
      <w:r>
        <w:rPr>
          <w:rFonts w:hint="eastAsia" w:ascii="宋体" w:hAnsi="宋体"/>
          <w:b/>
          <w:szCs w:val="21"/>
        </w:rPr>
        <w:t>、密封和标记</w:t>
      </w:r>
      <w:bookmarkEnd w:id="218"/>
      <w:bookmarkEnd w:id="219"/>
      <w:bookmarkEnd w:id="220"/>
      <w:bookmarkEnd w:id="221"/>
      <w:bookmarkEnd w:id="222"/>
      <w:bookmarkEnd w:id="223"/>
      <w:bookmarkEnd w:id="224"/>
    </w:p>
    <w:p>
      <w:pPr>
        <w:pStyle w:val="8"/>
        <w:tabs>
          <w:tab w:val="left" w:pos="630"/>
        </w:tabs>
        <w:snapToGrid w:val="0"/>
        <w:spacing w:line="360" w:lineRule="auto"/>
        <w:ind w:firstLine="420" w:firstLineChars="200"/>
        <w:rPr>
          <w:rFonts w:hAnsi="宋体"/>
          <w:sz w:val="21"/>
          <w:szCs w:val="21"/>
        </w:rPr>
      </w:pPr>
      <w:r>
        <w:rPr>
          <w:rFonts w:hAnsi="宋体"/>
          <w:sz w:val="21"/>
          <w:szCs w:val="21"/>
        </w:rPr>
        <w:t>3.</w:t>
      </w:r>
      <w:r>
        <w:rPr>
          <w:rFonts w:hint="eastAsia" w:hAnsi="宋体"/>
          <w:sz w:val="21"/>
          <w:szCs w:val="21"/>
        </w:rPr>
        <w:t>6</w:t>
      </w:r>
      <w:r>
        <w:rPr>
          <w:rFonts w:hAnsi="宋体"/>
          <w:sz w:val="21"/>
          <w:szCs w:val="21"/>
        </w:rPr>
        <w:t>.1</w:t>
      </w:r>
      <w:r>
        <w:rPr>
          <w:rFonts w:hint="eastAsia" w:hAnsi="宋体"/>
          <w:sz w:val="21"/>
          <w:szCs w:val="21"/>
        </w:rPr>
        <w:t>本次只接受</w:t>
      </w:r>
      <w:r>
        <w:rPr>
          <w:rFonts w:hint="eastAsia" w:hAnsi="宋体" w:cs="宋体"/>
          <w:sz w:val="21"/>
          <w:szCs w:val="21"/>
        </w:rPr>
        <w:t>纸质标书，不接受电子标书</w:t>
      </w:r>
    </w:p>
    <w:p>
      <w:pPr>
        <w:spacing w:line="360" w:lineRule="auto"/>
        <w:outlineLvl w:val="1"/>
        <w:rPr>
          <w:rFonts w:ascii="宋体"/>
          <w:b/>
          <w:szCs w:val="21"/>
        </w:rPr>
      </w:pPr>
      <w:bookmarkStart w:id="225" w:name="_Toc10210438"/>
      <w:bookmarkStart w:id="226" w:name="_Toc30901"/>
      <w:bookmarkStart w:id="227" w:name="_Toc8657492"/>
      <w:r>
        <w:rPr>
          <w:rFonts w:ascii="宋体" w:hAnsi="宋体"/>
          <w:b/>
          <w:szCs w:val="21"/>
        </w:rPr>
        <w:t>4.</w:t>
      </w:r>
      <w:r>
        <w:rPr>
          <w:rFonts w:hint="eastAsia" w:ascii="宋体" w:hAnsi="宋体"/>
          <w:b/>
          <w:szCs w:val="21"/>
        </w:rPr>
        <w:t>投标</w:t>
      </w:r>
      <w:bookmarkEnd w:id="171"/>
      <w:bookmarkEnd w:id="172"/>
      <w:bookmarkEnd w:id="173"/>
      <w:bookmarkEnd w:id="225"/>
      <w:bookmarkEnd w:id="226"/>
      <w:bookmarkEnd w:id="227"/>
    </w:p>
    <w:p>
      <w:pPr>
        <w:spacing w:line="360" w:lineRule="auto"/>
        <w:outlineLvl w:val="2"/>
        <w:rPr>
          <w:rFonts w:ascii="宋体"/>
          <w:b/>
          <w:szCs w:val="21"/>
        </w:rPr>
      </w:pPr>
      <w:bookmarkStart w:id="228" w:name="_Toc447265529"/>
      <w:bookmarkStart w:id="229" w:name="_Toc8657493"/>
      <w:bookmarkStart w:id="230" w:name="_Toc10210439"/>
      <w:bookmarkStart w:id="231" w:name="_Toc447188692"/>
      <w:bookmarkStart w:id="232" w:name="_Toc26303"/>
      <w:bookmarkStart w:id="233" w:name="_Toc447265243"/>
      <w:r>
        <w:rPr>
          <w:rFonts w:ascii="宋体" w:hAnsi="宋体"/>
          <w:b/>
          <w:szCs w:val="21"/>
        </w:rPr>
        <w:t>4.1</w:t>
      </w:r>
      <w:r>
        <w:rPr>
          <w:rFonts w:hint="eastAsia" w:ascii="宋体" w:hAnsi="宋体"/>
          <w:b/>
          <w:szCs w:val="21"/>
        </w:rPr>
        <w:t>投标</w:t>
      </w:r>
      <w:bookmarkEnd w:id="174"/>
      <w:bookmarkEnd w:id="175"/>
      <w:r>
        <w:rPr>
          <w:rFonts w:hint="eastAsia" w:ascii="宋体" w:hAnsi="宋体"/>
          <w:b/>
          <w:szCs w:val="21"/>
        </w:rPr>
        <w:t>文件的递交</w:t>
      </w:r>
      <w:bookmarkEnd w:id="176"/>
      <w:bookmarkEnd w:id="177"/>
      <w:bookmarkEnd w:id="228"/>
      <w:bookmarkEnd w:id="229"/>
      <w:bookmarkEnd w:id="230"/>
      <w:bookmarkEnd w:id="231"/>
      <w:bookmarkEnd w:id="232"/>
      <w:bookmarkEnd w:id="233"/>
    </w:p>
    <w:p>
      <w:pPr>
        <w:pStyle w:val="8"/>
        <w:tabs>
          <w:tab w:val="left" w:pos="630"/>
        </w:tabs>
        <w:snapToGrid w:val="0"/>
        <w:spacing w:line="360" w:lineRule="auto"/>
        <w:ind w:firstLine="420" w:firstLineChars="200"/>
        <w:rPr>
          <w:rFonts w:hAnsi="宋体"/>
          <w:sz w:val="21"/>
          <w:szCs w:val="21"/>
        </w:rPr>
      </w:pPr>
      <w:bookmarkStart w:id="234" w:name="_Toc107822504"/>
      <w:bookmarkStart w:id="235" w:name="_Toc488655849"/>
      <w:bookmarkStart w:id="236" w:name="_Toc488655850"/>
      <w:bookmarkStart w:id="237" w:name="_Toc227057907"/>
      <w:bookmarkStart w:id="238" w:name="_Toc107822505"/>
      <w:bookmarkStart w:id="239" w:name="_Toc226969301"/>
      <w:bookmarkStart w:id="240" w:name="_Toc447265244"/>
      <w:bookmarkStart w:id="241" w:name="_Toc447188693"/>
      <w:bookmarkStart w:id="242" w:name="_Toc447265530"/>
      <w:r>
        <w:rPr>
          <w:rFonts w:hAnsi="宋体"/>
          <w:sz w:val="21"/>
          <w:szCs w:val="21"/>
        </w:rPr>
        <w:t>4.1.1</w:t>
      </w:r>
      <w:r>
        <w:rPr>
          <w:rFonts w:hint="eastAsia" w:hAnsi="宋体"/>
          <w:sz w:val="21"/>
          <w:szCs w:val="21"/>
        </w:rPr>
        <w:t>投标文件递交截止时间：见投标人须知前附表。</w:t>
      </w:r>
    </w:p>
    <w:p>
      <w:pPr>
        <w:pStyle w:val="8"/>
        <w:tabs>
          <w:tab w:val="left" w:pos="630"/>
        </w:tabs>
        <w:snapToGrid w:val="0"/>
        <w:spacing w:line="360" w:lineRule="auto"/>
        <w:ind w:firstLine="420" w:firstLineChars="200"/>
        <w:rPr>
          <w:rFonts w:hAnsi="宋体"/>
          <w:sz w:val="21"/>
          <w:szCs w:val="21"/>
        </w:rPr>
      </w:pPr>
      <w:r>
        <w:rPr>
          <w:rFonts w:hAnsi="宋体"/>
          <w:sz w:val="21"/>
          <w:szCs w:val="21"/>
        </w:rPr>
        <w:t>4.1.2</w:t>
      </w:r>
      <w:r>
        <w:rPr>
          <w:rFonts w:hint="eastAsia" w:hAnsi="宋体"/>
          <w:sz w:val="21"/>
          <w:szCs w:val="21"/>
        </w:rPr>
        <w:t>投标文件递交地点：见投标人须知前附表。</w:t>
      </w:r>
    </w:p>
    <w:p>
      <w:pPr>
        <w:pStyle w:val="8"/>
        <w:tabs>
          <w:tab w:val="left" w:pos="630"/>
        </w:tabs>
        <w:snapToGrid w:val="0"/>
        <w:spacing w:line="360" w:lineRule="auto"/>
        <w:ind w:firstLine="420" w:firstLineChars="200"/>
        <w:rPr>
          <w:rFonts w:hAnsi="宋体"/>
          <w:sz w:val="21"/>
          <w:szCs w:val="21"/>
        </w:rPr>
      </w:pPr>
      <w:r>
        <w:rPr>
          <w:rFonts w:hAnsi="宋体"/>
          <w:sz w:val="21"/>
          <w:szCs w:val="21"/>
        </w:rPr>
        <w:t>4.1.3</w:t>
      </w:r>
      <w:r>
        <w:rPr>
          <w:rFonts w:hint="eastAsia" w:hAnsi="宋体"/>
          <w:sz w:val="21"/>
          <w:szCs w:val="21"/>
        </w:rPr>
        <w:t>除投标人须知前附表另有规定外，投标人所递交的投标文件不予退还。</w:t>
      </w:r>
    </w:p>
    <w:p>
      <w:pPr>
        <w:pStyle w:val="8"/>
        <w:tabs>
          <w:tab w:val="left" w:pos="630"/>
        </w:tabs>
        <w:snapToGrid w:val="0"/>
        <w:spacing w:line="360" w:lineRule="auto"/>
        <w:ind w:firstLine="420" w:firstLineChars="200"/>
        <w:rPr>
          <w:rFonts w:hAnsi="宋体"/>
          <w:sz w:val="21"/>
          <w:szCs w:val="21"/>
        </w:rPr>
      </w:pPr>
      <w:r>
        <w:rPr>
          <w:rFonts w:hAnsi="宋体"/>
          <w:sz w:val="21"/>
          <w:szCs w:val="21"/>
        </w:rPr>
        <w:t>4.1.4</w:t>
      </w:r>
      <w:r>
        <w:rPr>
          <w:rFonts w:hint="eastAsia" w:hAnsi="宋体"/>
          <w:sz w:val="21"/>
          <w:szCs w:val="21"/>
        </w:rPr>
        <w:t>出现以下情形时，招标人不予接收投标文件：</w:t>
      </w:r>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w:t>
      </w:r>
      <w:r>
        <w:rPr>
          <w:rFonts w:hAnsi="宋体"/>
          <w:sz w:val="21"/>
          <w:szCs w:val="21"/>
        </w:rPr>
        <w:t>1</w:t>
      </w:r>
      <w:r>
        <w:rPr>
          <w:rFonts w:hint="eastAsia" w:hAnsi="宋体"/>
          <w:sz w:val="21"/>
          <w:szCs w:val="21"/>
        </w:rPr>
        <w:t>）逾期送达或者未送达指定地点的；</w:t>
      </w:r>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w:t>
      </w:r>
      <w:r>
        <w:rPr>
          <w:rFonts w:hAnsi="宋体"/>
          <w:sz w:val="21"/>
          <w:szCs w:val="21"/>
        </w:rPr>
        <w:t>2</w:t>
      </w:r>
      <w:r>
        <w:rPr>
          <w:rFonts w:hint="eastAsia" w:hAnsi="宋体"/>
          <w:sz w:val="21"/>
          <w:szCs w:val="21"/>
        </w:rPr>
        <w:t>）未按照招标文件要求制作的；</w:t>
      </w:r>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（3）未按照第一章“招标公告”要求获得本项目招标文件的。</w:t>
      </w:r>
    </w:p>
    <w:p>
      <w:pPr>
        <w:pStyle w:val="8"/>
        <w:tabs>
          <w:tab w:val="left" w:pos="630"/>
        </w:tabs>
        <w:snapToGrid w:val="0"/>
        <w:spacing w:line="360" w:lineRule="auto"/>
        <w:ind w:firstLine="420" w:firstLineChars="200"/>
        <w:rPr>
          <w:rFonts w:hAnsi="宋体"/>
          <w:sz w:val="21"/>
          <w:szCs w:val="21"/>
        </w:rPr>
      </w:pPr>
      <w:r>
        <w:rPr>
          <w:rFonts w:hAnsi="宋体"/>
          <w:sz w:val="21"/>
          <w:szCs w:val="21"/>
        </w:rPr>
        <w:t>4.1.5</w:t>
      </w:r>
      <w:r>
        <w:rPr>
          <w:rFonts w:hint="eastAsia" w:hAnsi="宋体"/>
          <w:sz w:val="21"/>
          <w:szCs w:val="21"/>
        </w:rPr>
        <w:t>到投标文件递交截止时间止，招标人收到的投标文件少于</w:t>
      </w:r>
      <w:r>
        <w:rPr>
          <w:rFonts w:hAnsi="宋体"/>
          <w:sz w:val="21"/>
          <w:szCs w:val="21"/>
        </w:rPr>
        <w:t>3</w:t>
      </w:r>
      <w:r>
        <w:rPr>
          <w:rFonts w:hint="eastAsia" w:hAnsi="宋体"/>
          <w:sz w:val="21"/>
          <w:szCs w:val="21"/>
        </w:rPr>
        <w:t>个的，招标人将依法</w:t>
      </w:r>
      <w:r>
        <w:rPr>
          <w:rFonts w:hint="eastAsia" w:hAnsi="宋体" w:cs="宋体"/>
          <w:sz w:val="21"/>
          <w:szCs w:val="21"/>
        </w:rPr>
        <w:t>重新组织招标。</w:t>
      </w:r>
    </w:p>
    <w:bookmarkEnd w:id="234"/>
    <w:bookmarkEnd w:id="235"/>
    <w:p>
      <w:pPr>
        <w:spacing w:line="360" w:lineRule="auto"/>
        <w:outlineLvl w:val="2"/>
        <w:rPr>
          <w:rFonts w:ascii="宋体"/>
          <w:b/>
          <w:szCs w:val="21"/>
        </w:rPr>
      </w:pPr>
      <w:bookmarkStart w:id="243" w:name="_Toc10210440"/>
      <w:bookmarkStart w:id="244" w:name="_Toc12576"/>
      <w:bookmarkStart w:id="245" w:name="_Toc8657494"/>
      <w:r>
        <w:rPr>
          <w:rFonts w:ascii="宋体" w:hAnsi="宋体"/>
          <w:b/>
          <w:szCs w:val="21"/>
        </w:rPr>
        <w:t>4.2</w:t>
      </w:r>
      <w:r>
        <w:rPr>
          <w:rFonts w:hint="eastAsia" w:ascii="宋体" w:hAnsi="宋体"/>
          <w:b/>
          <w:szCs w:val="21"/>
        </w:rPr>
        <w:t>投标文件的修改、撤回</w:t>
      </w:r>
      <w:bookmarkEnd w:id="236"/>
      <w:bookmarkEnd w:id="237"/>
      <w:bookmarkEnd w:id="238"/>
      <w:bookmarkEnd w:id="239"/>
      <w:r>
        <w:rPr>
          <w:rFonts w:hint="eastAsia" w:ascii="宋体" w:hAnsi="宋体"/>
          <w:b/>
          <w:szCs w:val="21"/>
        </w:rPr>
        <w:t>和撤销</w:t>
      </w:r>
      <w:bookmarkEnd w:id="240"/>
      <w:bookmarkEnd w:id="241"/>
      <w:bookmarkEnd w:id="242"/>
      <w:bookmarkEnd w:id="243"/>
      <w:bookmarkEnd w:id="244"/>
      <w:bookmarkEnd w:id="245"/>
    </w:p>
    <w:p>
      <w:pPr>
        <w:pStyle w:val="8"/>
        <w:tabs>
          <w:tab w:val="left" w:pos="630"/>
        </w:tabs>
        <w:snapToGrid w:val="0"/>
        <w:spacing w:line="360" w:lineRule="auto"/>
        <w:ind w:firstLine="420" w:firstLineChars="200"/>
        <w:rPr>
          <w:rFonts w:hAnsi="宋体"/>
          <w:sz w:val="21"/>
          <w:szCs w:val="21"/>
        </w:rPr>
      </w:pPr>
      <w:bookmarkStart w:id="246" w:name="_Toc247085717"/>
      <w:bookmarkStart w:id="247" w:name="_Toc246996203"/>
      <w:bookmarkStart w:id="248" w:name="_Toc144974527"/>
      <w:bookmarkStart w:id="249" w:name="_Toc447265531"/>
      <w:bookmarkStart w:id="250" w:name="_Toc152042335"/>
      <w:bookmarkStart w:id="251" w:name="_Toc447188694"/>
      <w:bookmarkStart w:id="252" w:name="_Toc179632577"/>
      <w:bookmarkStart w:id="253" w:name="_Toc296602447"/>
      <w:bookmarkStart w:id="254" w:name="_Toc152045559"/>
      <w:bookmarkStart w:id="255" w:name="_Toc447265245"/>
      <w:bookmarkStart w:id="256" w:name="_Toc246996946"/>
      <w:bookmarkStart w:id="257" w:name="_Toc227057908"/>
      <w:bookmarkStart w:id="258" w:name="_Toc488655852"/>
      <w:bookmarkStart w:id="259" w:name="_Toc226969302"/>
      <w:bookmarkStart w:id="260" w:name="_Toc107822506"/>
      <w:r>
        <w:rPr>
          <w:rFonts w:hAnsi="宋体"/>
          <w:sz w:val="21"/>
          <w:szCs w:val="21"/>
        </w:rPr>
        <w:t>4.2.1</w:t>
      </w:r>
      <w:r>
        <w:rPr>
          <w:rFonts w:hint="eastAsia" w:hAnsi="宋体"/>
          <w:sz w:val="21"/>
          <w:szCs w:val="21"/>
        </w:rPr>
        <w:t>在规定的投标截止时间前，投标人可以修改或者撤回已递交的投标文件。</w:t>
      </w:r>
    </w:p>
    <w:p>
      <w:pPr>
        <w:pStyle w:val="8"/>
        <w:tabs>
          <w:tab w:val="left" w:pos="630"/>
        </w:tabs>
        <w:snapToGrid w:val="0"/>
        <w:spacing w:line="360" w:lineRule="auto"/>
        <w:ind w:firstLine="420" w:firstLineChars="200"/>
        <w:rPr>
          <w:rFonts w:hAnsi="宋体"/>
          <w:sz w:val="21"/>
          <w:szCs w:val="21"/>
        </w:rPr>
      </w:pPr>
      <w:r>
        <w:rPr>
          <w:rFonts w:hAnsi="宋体"/>
          <w:sz w:val="21"/>
          <w:szCs w:val="21"/>
        </w:rPr>
        <w:t>4.2.2</w:t>
      </w:r>
      <w:r>
        <w:rPr>
          <w:rFonts w:hint="eastAsia" w:hAnsi="宋体"/>
          <w:sz w:val="21"/>
          <w:szCs w:val="21"/>
        </w:rPr>
        <w:t>投标人修改后的投标文件，应当在规定的投标截止时间前按照招标文件的规定编制、密封、标记、递交。</w:t>
      </w:r>
    </w:p>
    <w:p>
      <w:pPr>
        <w:pStyle w:val="8"/>
        <w:tabs>
          <w:tab w:val="left" w:pos="630"/>
        </w:tabs>
        <w:snapToGrid w:val="0"/>
        <w:spacing w:line="360" w:lineRule="auto"/>
        <w:ind w:firstLine="420" w:firstLineChars="200"/>
        <w:rPr>
          <w:rFonts w:hAnsi="宋体"/>
          <w:sz w:val="21"/>
          <w:szCs w:val="21"/>
        </w:rPr>
      </w:pPr>
      <w:r>
        <w:rPr>
          <w:rFonts w:hAnsi="宋体"/>
          <w:sz w:val="21"/>
          <w:szCs w:val="21"/>
        </w:rPr>
        <w:t>4.2.3</w:t>
      </w:r>
      <w:r>
        <w:rPr>
          <w:rFonts w:hint="eastAsia" w:hAnsi="宋体"/>
          <w:sz w:val="21"/>
          <w:szCs w:val="21"/>
        </w:rPr>
        <w:t>投标人撤回已递交的投标文件，应当书面通知招标人。</w:t>
      </w:r>
    </w:p>
    <w:p>
      <w:pPr>
        <w:pStyle w:val="8"/>
        <w:tabs>
          <w:tab w:val="left" w:pos="630"/>
        </w:tabs>
        <w:snapToGrid w:val="0"/>
        <w:spacing w:line="360" w:lineRule="auto"/>
        <w:ind w:firstLine="420" w:firstLineChars="200"/>
        <w:rPr>
          <w:rFonts w:hAnsi="宋体"/>
          <w:sz w:val="21"/>
          <w:szCs w:val="21"/>
        </w:rPr>
      </w:pPr>
      <w:r>
        <w:rPr>
          <w:rFonts w:hAnsi="宋体"/>
          <w:sz w:val="21"/>
          <w:szCs w:val="21"/>
        </w:rPr>
        <w:t>4.2.4</w:t>
      </w:r>
      <w:r>
        <w:rPr>
          <w:rFonts w:hint="eastAsia" w:hAnsi="宋体"/>
          <w:sz w:val="21"/>
          <w:szCs w:val="21"/>
        </w:rPr>
        <w:t>投标人在规定的投标截止时间后，不得在投标有效期内撤销其投标。</w:t>
      </w:r>
    </w:p>
    <w:p>
      <w:pPr>
        <w:spacing w:line="360" w:lineRule="auto"/>
        <w:outlineLvl w:val="1"/>
        <w:rPr>
          <w:rFonts w:ascii="宋体"/>
          <w:b/>
          <w:szCs w:val="21"/>
        </w:rPr>
      </w:pPr>
      <w:bookmarkStart w:id="261" w:name="_Toc10210441"/>
      <w:bookmarkStart w:id="262" w:name="_Toc23281"/>
      <w:bookmarkStart w:id="263" w:name="_Toc8657495"/>
      <w:r>
        <w:rPr>
          <w:rFonts w:ascii="宋体" w:hAnsi="宋体"/>
          <w:b/>
          <w:szCs w:val="21"/>
        </w:rPr>
        <w:t>5.</w:t>
      </w:r>
      <w:r>
        <w:rPr>
          <w:rFonts w:hint="eastAsia" w:ascii="宋体" w:hAnsi="宋体"/>
          <w:b/>
          <w:szCs w:val="21"/>
        </w:rPr>
        <w:t>开标</w:t>
      </w:r>
      <w:bookmarkEnd w:id="246"/>
      <w:bookmarkEnd w:id="247"/>
      <w:bookmarkEnd w:id="248"/>
      <w:bookmarkEnd w:id="249"/>
      <w:bookmarkEnd w:id="250"/>
      <w:bookmarkEnd w:id="251"/>
      <w:bookmarkEnd w:id="252"/>
      <w:bookmarkEnd w:id="253"/>
      <w:bookmarkEnd w:id="254"/>
      <w:bookmarkEnd w:id="255"/>
      <w:bookmarkEnd w:id="256"/>
      <w:bookmarkEnd w:id="261"/>
      <w:bookmarkEnd w:id="262"/>
      <w:bookmarkEnd w:id="263"/>
    </w:p>
    <w:p>
      <w:pPr>
        <w:spacing w:line="360" w:lineRule="auto"/>
        <w:outlineLvl w:val="2"/>
        <w:rPr>
          <w:rFonts w:ascii="宋体"/>
          <w:b/>
          <w:szCs w:val="21"/>
        </w:rPr>
      </w:pPr>
      <w:bookmarkStart w:id="264" w:name="_Toc447265532"/>
      <w:bookmarkStart w:id="265" w:name="_Toc10210442"/>
      <w:bookmarkStart w:id="266" w:name="_Toc447188695"/>
      <w:bookmarkStart w:id="267" w:name="_Toc447265246"/>
      <w:bookmarkStart w:id="268" w:name="_Toc8657496"/>
      <w:bookmarkStart w:id="269" w:name="_Toc12116"/>
      <w:r>
        <w:rPr>
          <w:rFonts w:ascii="宋体" w:hAnsi="宋体"/>
          <w:b/>
          <w:szCs w:val="21"/>
        </w:rPr>
        <w:t>5.1</w:t>
      </w:r>
      <w:r>
        <w:rPr>
          <w:rFonts w:hint="eastAsia" w:ascii="宋体" w:hAnsi="宋体"/>
          <w:b/>
          <w:szCs w:val="21"/>
        </w:rPr>
        <w:t>开标</w:t>
      </w:r>
      <w:bookmarkEnd w:id="257"/>
      <w:bookmarkEnd w:id="258"/>
      <w:bookmarkEnd w:id="259"/>
      <w:bookmarkEnd w:id="260"/>
      <w:r>
        <w:rPr>
          <w:rFonts w:hint="eastAsia" w:ascii="宋体" w:hAnsi="宋体"/>
          <w:b/>
          <w:szCs w:val="21"/>
        </w:rPr>
        <w:t>时间和地点</w:t>
      </w:r>
      <w:bookmarkEnd w:id="264"/>
      <w:bookmarkEnd w:id="265"/>
      <w:bookmarkEnd w:id="266"/>
      <w:bookmarkEnd w:id="267"/>
      <w:bookmarkEnd w:id="268"/>
      <w:bookmarkEnd w:id="269"/>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招标人将按照投标人须知前附表规定的时间和地点公开开标，参加开标的投标人代表应当签名报到，以证明其出席开标。开标时间和投标截止时间应当为同一时间。</w:t>
      </w:r>
    </w:p>
    <w:p>
      <w:pPr>
        <w:spacing w:line="360" w:lineRule="auto"/>
        <w:outlineLvl w:val="2"/>
        <w:rPr>
          <w:rFonts w:ascii="宋体"/>
          <w:b/>
          <w:szCs w:val="21"/>
        </w:rPr>
      </w:pPr>
      <w:bookmarkStart w:id="270" w:name="_Toc447265533"/>
      <w:bookmarkStart w:id="271" w:name="_Toc447265247"/>
      <w:bookmarkStart w:id="272" w:name="_Toc10210443"/>
      <w:bookmarkStart w:id="273" w:name="_Toc13976"/>
      <w:bookmarkStart w:id="274" w:name="_Toc8657497"/>
      <w:bookmarkStart w:id="275" w:name="_Toc447188696"/>
      <w:r>
        <w:rPr>
          <w:rFonts w:ascii="宋体" w:hAnsi="宋体"/>
          <w:b/>
          <w:szCs w:val="21"/>
        </w:rPr>
        <w:t>5.2</w:t>
      </w:r>
      <w:r>
        <w:rPr>
          <w:rFonts w:hint="eastAsia" w:ascii="宋体" w:hAnsi="宋体"/>
          <w:b/>
          <w:szCs w:val="21"/>
        </w:rPr>
        <w:t>开标程序</w:t>
      </w:r>
      <w:bookmarkEnd w:id="270"/>
      <w:bookmarkEnd w:id="271"/>
      <w:bookmarkEnd w:id="272"/>
      <w:bookmarkEnd w:id="273"/>
      <w:bookmarkEnd w:id="274"/>
      <w:bookmarkEnd w:id="275"/>
    </w:p>
    <w:p>
      <w:pPr>
        <w:pStyle w:val="8"/>
        <w:tabs>
          <w:tab w:val="left" w:pos="630"/>
        </w:tabs>
        <w:snapToGrid w:val="0"/>
        <w:spacing w:line="360" w:lineRule="auto"/>
        <w:ind w:firstLine="420" w:firstLineChars="200"/>
        <w:rPr>
          <w:rFonts w:hAnsi="宋体"/>
          <w:sz w:val="21"/>
          <w:szCs w:val="21"/>
        </w:rPr>
      </w:pPr>
      <w:bookmarkStart w:id="276" w:name="_Toc447265536"/>
      <w:bookmarkStart w:id="277" w:name="_Toc447265250"/>
      <w:bookmarkStart w:id="278" w:name="_Toc296602451"/>
      <w:bookmarkStart w:id="279" w:name="_Toc152042338"/>
      <w:bookmarkStart w:id="280" w:name="_Toc144974530"/>
      <w:bookmarkStart w:id="281" w:name="_Toc246996206"/>
      <w:bookmarkStart w:id="282" w:name="_Toc247085720"/>
      <w:bookmarkStart w:id="283" w:name="_Toc179632580"/>
      <w:bookmarkStart w:id="284" w:name="_Toc447188699"/>
      <w:bookmarkStart w:id="285" w:name="_Toc152045562"/>
      <w:bookmarkStart w:id="286" w:name="_Toc246996949"/>
      <w:bookmarkStart w:id="287" w:name="_Toc107822507"/>
      <w:bookmarkStart w:id="288" w:name="_Toc227057909"/>
      <w:bookmarkStart w:id="289" w:name="_Toc226969303"/>
      <w:r>
        <w:rPr>
          <w:rFonts w:hAnsi="宋体"/>
          <w:sz w:val="21"/>
          <w:szCs w:val="21"/>
        </w:rPr>
        <w:t>5.2.1</w:t>
      </w:r>
      <w:r>
        <w:rPr>
          <w:rFonts w:hint="eastAsia" w:hAnsi="宋体"/>
          <w:sz w:val="21"/>
          <w:szCs w:val="21"/>
        </w:rPr>
        <w:t>开标会议由招标人主持，邀请所有的投标人或者其代表出席。</w:t>
      </w:r>
    </w:p>
    <w:p>
      <w:pPr>
        <w:pStyle w:val="8"/>
        <w:tabs>
          <w:tab w:val="left" w:pos="630"/>
        </w:tabs>
        <w:snapToGrid w:val="0"/>
        <w:spacing w:line="360" w:lineRule="auto"/>
        <w:ind w:firstLine="420" w:firstLineChars="200"/>
        <w:rPr>
          <w:rFonts w:hAnsi="宋体"/>
          <w:sz w:val="21"/>
          <w:szCs w:val="21"/>
        </w:rPr>
      </w:pPr>
      <w:r>
        <w:rPr>
          <w:rFonts w:hAnsi="宋体"/>
          <w:sz w:val="21"/>
          <w:szCs w:val="21"/>
        </w:rPr>
        <w:t>5.2.2</w:t>
      </w:r>
      <w:r>
        <w:rPr>
          <w:rFonts w:hint="eastAsia" w:hAnsi="宋体"/>
          <w:sz w:val="21"/>
          <w:szCs w:val="21"/>
        </w:rPr>
        <w:t>招标人在投标文件递交截止时间前收到的所有投标文件在开标时都应当众予以宣读。</w:t>
      </w:r>
    </w:p>
    <w:p>
      <w:pPr>
        <w:pStyle w:val="8"/>
        <w:tabs>
          <w:tab w:val="left" w:pos="630"/>
        </w:tabs>
        <w:snapToGrid w:val="0"/>
        <w:spacing w:line="360" w:lineRule="auto"/>
        <w:ind w:firstLine="420" w:firstLineChars="200"/>
        <w:rPr>
          <w:rFonts w:hAnsi="宋体"/>
          <w:sz w:val="21"/>
          <w:szCs w:val="21"/>
        </w:rPr>
      </w:pPr>
      <w:r>
        <w:rPr>
          <w:rFonts w:hAnsi="宋体"/>
          <w:sz w:val="21"/>
          <w:szCs w:val="21"/>
        </w:rPr>
        <w:t>5.2.3</w:t>
      </w:r>
      <w:r>
        <w:rPr>
          <w:rFonts w:hint="eastAsia" w:hAnsi="宋体"/>
          <w:sz w:val="21"/>
          <w:szCs w:val="21"/>
        </w:rPr>
        <w:t>开标时，招标人应当众宣布参加本项目招标的投标人个数及投标文件情况，并宣读有效投标的“投标人名称、投标总报价。</w:t>
      </w:r>
    </w:p>
    <w:p>
      <w:pPr>
        <w:pStyle w:val="8"/>
        <w:tabs>
          <w:tab w:val="left" w:pos="630"/>
        </w:tabs>
        <w:snapToGrid w:val="0"/>
        <w:spacing w:line="360" w:lineRule="auto"/>
        <w:ind w:firstLine="420" w:firstLineChars="200"/>
        <w:rPr>
          <w:rFonts w:hAnsi="宋体"/>
          <w:sz w:val="21"/>
          <w:szCs w:val="21"/>
        </w:rPr>
      </w:pPr>
      <w:r>
        <w:rPr>
          <w:rFonts w:hAnsi="宋体"/>
          <w:sz w:val="21"/>
          <w:szCs w:val="21"/>
        </w:rPr>
        <w:t>5.2.4</w:t>
      </w:r>
      <w:r>
        <w:rPr>
          <w:rFonts w:hint="eastAsia" w:hAnsi="宋体"/>
          <w:sz w:val="21"/>
          <w:szCs w:val="21"/>
        </w:rPr>
        <w:t>开标内容填写在“开标记录表”中。</w:t>
      </w:r>
    </w:p>
    <w:p>
      <w:pPr>
        <w:spacing w:line="360" w:lineRule="auto"/>
        <w:outlineLvl w:val="2"/>
        <w:rPr>
          <w:rFonts w:ascii="宋体"/>
          <w:b/>
          <w:szCs w:val="21"/>
        </w:rPr>
      </w:pPr>
      <w:bookmarkStart w:id="290" w:name="_Toc8657498"/>
      <w:bookmarkStart w:id="291" w:name="_Toc450489307"/>
      <w:bookmarkStart w:id="292" w:name="_Toc26033"/>
      <w:bookmarkStart w:id="293" w:name="_Toc447265248"/>
      <w:bookmarkStart w:id="294" w:name="_Toc447265534"/>
      <w:bookmarkStart w:id="295" w:name="_Toc10210444"/>
      <w:bookmarkStart w:id="296" w:name="_Toc447188697"/>
      <w:r>
        <w:rPr>
          <w:rFonts w:ascii="宋体" w:hAnsi="宋体"/>
          <w:b/>
          <w:szCs w:val="21"/>
        </w:rPr>
        <w:t>5.3</w:t>
      </w:r>
      <w:r>
        <w:rPr>
          <w:rFonts w:hint="eastAsia" w:ascii="宋体" w:hAnsi="宋体"/>
          <w:b/>
          <w:szCs w:val="21"/>
        </w:rPr>
        <w:t>异议</w:t>
      </w:r>
      <w:bookmarkEnd w:id="290"/>
      <w:bookmarkEnd w:id="291"/>
      <w:bookmarkEnd w:id="292"/>
      <w:bookmarkEnd w:id="293"/>
      <w:bookmarkEnd w:id="294"/>
      <w:bookmarkEnd w:id="295"/>
      <w:bookmarkEnd w:id="296"/>
    </w:p>
    <w:p>
      <w:pPr>
        <w:pStyle w:val="8"/>
        <w:tabs>
          <w:tab w:val="left" w:pos="630"/>
        </w:tabs>
        <w:snapToGrid w:val="0"/>
        <w:spacing w:line="360" w:lineRule="auto"/>
        <w:ind w:firstLine="420" w:firstLineChars="200"/>
        <w:rPr>
          <w:rFonts w:hAnsi="宋体"/>
          <w:sz w:val="21"/>
          <w:szCs w:val="21"/>
        </w:rPr>
      </w:pPr>
      <w:r>
        <w:rPr>
          <w:rFonts w:hAnsi="宋体"/>
          <w:sz w:val="21"/>
          <w:szCs w:val="21"/>
        </w:rPr>
        <w:t>5.3.1</w:t>
      </w:r>
      <w:r>
        <w:rPr>
          <w:rFonts w:hint="eastAsia" w:hAnsi="宋体"/>
          <w:sz w:val="21"/>
          <w:szCs w:val="21"/>
        </w:rPr>
        <w:t>投标人对开标有异议的，应当在开标现场提出，招标人应当场做出答复，并制作记录。</w:t>
      </w:r>
    </w:p>
    <w:p>
      <w:pPr>
        <w:pStyle w:val="8"/>
        <w:tabs>
          <w:tab w:val="left" w:pos="630"/>
        </w:tabs>
        <w:snapToGrid w:val="0"/>
        <w:spacing w:line="360" w:lineRule="auto"/>
        <w:ind w:firstLine="420" w:firstLineChars="200"/>
        <w:rPr>
          <w:rFonts w:hAnsi="宋体"/>
          <w:sz w:val="21"/>
          <w:szCs w:val="21"/>
        </w:rPr>
      </w:pPr>
      <w:r>
        <w:rPr>
          <w:rFonts w:hAnsi="宋体"/>
          <w:sz w:val="21"/>
          <w:szCs w:val="21"/>
        </w:rPr>
        <w:t>5.3.2</w:t>
      </w:r>
      <w:r>
        <w:rPr>
          <w:rFonts w:hint="eastAsia" w:hAnsi="宋体"/>
          <w:sz w:val="21"/>
          <w:szCs w:val="21"/>
        </w:rPr>
        <w:t>投标人认为存在低于成本价投标情形的，可以在开标现场提出异议，并在评标完成前向招标人递交书面材料，招标人应当及时将书面材料转交评标委员会。</w:t>
      </w:r>
    </w:p>
    <w:p>
      <w:pPr>
        <w:spacing w:line="360" w:lineRule="auto"/>
        <w:outlineLvl w:val="1"/>
        <w:rPr>
          <w:rFonts w:ascii="宋体"/>
          <w:b/>
          <w:szCs w:val="21"/>
        </w:rPr>
      </w:pPr>
      <w:bookmarkStart w:id="297" w:name="_Toc21289"/>
      <w:bookmarkStart w:id="298" w:name="_Toc8657499"/>
      <w:bookmarkStart w:id="299" w:name="_Toc10210445"/>
      <w:r>
        <w:rPr>
          <w:rFonts w:ascii="宋体" w:hAnsi="宋体"/>
          <w:b/>
          <w:szCs w:val="21"/>
        </w:rPr>
        <w:t>6.</w:t>
      </w:r>
      <w:r>
        <w:rPr>
          <w:rFonts w:hint="eastAsia" w:ascii="宋体" w:hAnsi="宋体"/>
          <w:b/>
          <w:szCs w:val="21"/>
        </w:rPr>
        <w:t>评标</w:t>
      </w:r>
      <w:bookmarkEnd w:id="276"/>
      <w:bookmarkEnd w:id="277"/>
      <w:bookmarkEnd w:id="278"/>
      <w:bookmarkEnd w:id="279"/>
      <w:bookmarkEnd w:id="280"/>
      <w:bookmarkEnd w:id="281"/>
      <w:bookmarkEnd w:id="282"/>
      <w:bookmarkEnd w:id="283"/>
      <w:bookmarkEnd w:id="284"/>
      <w:bookmarkEnd w:id="285"/>
      <w:bookmarkEnd w:id="286"/>
      <w:bookmarkEnd w:id="297"/>
      <w:bookmarkEnd w:id="298"/>
      <w:bookmarkEnd w:id="299"/>
    </w:p>
    <w:p>
      <w:pPr>
        <w:spacing w:line="360" w:lineRule="auto"/>
        <w:outlineLvl w:val="2"/>
        <w:rPr>
          <w:rFonts w:ascii="宋体"/>
          <w:b/>
          <w:szCs w:val="21"/>
        </w:rPr>
      </w:pPr>
      <w:bookmarkStart w:id="300" w:name="_Toc447265537"/>
      <w:bookmarkStart w:id="301" w:name="_Toc447188700"/>
      <w:bookmarkStart w:id="302" w:name="_Toc32290"/>
      <w:bookmarkStart w:id="303" w:name="_Toc8657500"/>
      <w:bookmarkStart w:id="304" w:name="_Toc447265251"/>
      <w:bookmarkStart w:id="305" w:name="_Toc10210446"/>
      <w:r>
        <w:rPr>
          <w:rFonts w:ascii="宋体" w:hAnsi="宋体"/>
          <w:b/>
          <w:szCs w:val="21"/>
        </w:rPr>
        <w:t>6.1</w:t>
      </w:r>
      <w:r>
        <w:rPr>
          <w:rFonts w:hint="eastAsia" w:ascii="宋体" w:hAnsi="宋体"/>
          <w:b/>
          <w:szCs w:val="21"/>
        </w:rPr>
        <w:t>评标委员会</w:t>
      </w:r>
      <w:bookmarkEnd w:id="287"/>
      <w:bookmarkEnd w:id="288"/>
      <w:bookmarkEnd w:id="289"/>
      <w:bookmarkEnd w:id="300"/>
      <w:bookmarkEnd w:id="301"/>
      <w:bookmarkEnd w:id="302"/>
      <w:bookmarkEnd w:id="303"/>
      <w:bookmarkEnd w:id="304"/>
      <w:bookmarkEnd w:id="305"/>
    </w:p>
    <w:p>
      <w:pPr>
        <w:pStyle w:val="8"/>
        <w:tabs>
          <w:tab w:val="left" w:pos="630"/>
        </w:tabs>
        <w:snapToGrid w:val="0"/>
        <w:spacing w:line="360" w:lineRule="auto"/>
        <w:ind w:firstLine="420" w:firstLineChars="200"/>
        <w:rPr>
          <w:rFonts w:hAnsi="宋体"/>
          <w:sz w:val="21"/>
          <w:szCs w:val="21"/>
        </w:rPr>
      </w:pPr>
      <w:bookmarkStart w:id="306" w:name="_Toc447265255"/>
      <w:bookmarkStart w:id="307" w:name="_Toc447188703"/>
      <w:bookmarkStart w:id="308" w:name="_Toc447265541"/>
      <w:bookmarkStart w:id="309" w:name="_Toc107822516"/>
      <w:bookmarkStart w:id="310" w:name="_Toc488655860"/>
      <w:bookmarkStart w:id="311" w:name="_Toc226969309"/>
      <w:bookmarkStart w:id="312" w:name="_Toc227057915"/>
      <w:r>
        <w:rPr>
          <w:rFonts w:hAnsi="宋体"/>
          <w:sz w:val="21"/>
          <w:szCs w:val="21"/>
        </w:rPr>
        <w:t>6.1.1</w:t>
      </w:r>
      <w:r>
        <w:rPr>
          <w:rFonts w:hint="eastAsia" w:hAnsi="宋体"/>
          <w:sz w:val="21"/>
          <w:szCs w:val="21"/>
        </w:rPr>
        <w:t>评标由依法组建的评标委员会负责，具体人数见投标人须知前附表。</w:t>
      </w:r>
    </w:p>
    <w:p>
      <w:pPr>
        <w:pStyle w:val="8"/>
        <w:tabs>
          <w:tab w:val="left" w:pos="630"/>
        </w:tabs>
        <w:snapToGrid w:val="0"/>
        <w:spacing w:line="360" w:lineRule="auto"/>
        <w:ind w:firstLine="420" w:firstLineChars="200"/>
        <w:rPr>
          <w:rFonts w:hAnsi="宋体"/>
          <w:sz w:val="21"/>
          <w:szCs w:val="21"/>
        </w:rPr>
      </w:pPr>
      <w:r>
        <w:rPr>
          <w:rFonts w:hAnsi="宋体"/>
          <w:sz w:val="21"/>
          <w:szCs w:val="21"/>
        </w:rPr>
        <w:t>6.1.2</w:t>
      </w:r>
      <w:r>
        <w:rPr>
          <w:rFonts w:hint="eastAsia" w:hAnsi="宋体"/>
          <w:sz w:val="21"/>
          <w:szCs w:val="21"/>
        </w:rPr>
        <w:t>评标期间，任何单位和个人不得非法干预或者影响评标的过程和结果。</w:t>
      </w:r>
    </w:p>
    <w:p>
      <w:pPr>
        <w:pStyle w:val="8"/>
        <w:tabs>
          <w:tab w:val="left" w:pos="630"/>
        </w:tabs>
        <w:snapToGrid w:val="0"/>
        <w:spacing w:line="360" w:lineRule="auto"/>
        <w:ind w:firstLine="420" w:firstLineChars="200"/>
        <w:rPr>
          <w:rFonts w:hAnsi="宋体"/>
          <w:sz w:val="21"/>
          <w:szCs w:val="21"/>
        </w:rPr>
      </w:pPr>
      <w:r>
        <w:rPr>
          <w:rFonts w:hAnsi="宋体"/>
          <w:sz w:val="21"/>
          <w:szCs w:val="21"/>
        </w:rPr>
        <w:t>6.1.3</w:t>
      </w:r>
      <w:r>
        <w:rPr>
          <w:rFonts w:hint="eastAsia" w:hAnsi="宋体"/>
          <w:sz w:val="21"/>
          <w:szCs w:val="21"/>
        </w:rPr>
        <w:t>评标委员会成员名单在中标结果确定前保密。</w:t>
      </w:r>
    </w:p>
    <w:p>
      <w:pPr>
        <w:spacing w:line="360" w:lineRule="auto"/>
        <w:outlineLvl w:val="2"/>
        <w:rPr>
          <w:rFonts w:ascii="宋体"/>
          <w:b/>
          <w:szCs w:val="21"/>
        </w:rPr>
      </w:pPr>
      <w:bookmarkStart w:id="313" w:name="_Toc296602453"/>
      <w:bookmarkStart w:id="314" w:name="_Toc8657501"/>
      <w:bookmarkStart w:id="315" w:name="_Toc152045564"/>
      <w:bookmarkStart w:id="316" w:name="_Toc144974532"/>
      <w:bookmarkStart w:id="317" w:name="_Toc447265252"/>
      <w:bookmarkStart w:id="318" w:name="_Toc152042340"/>
      <w:bookmarkStart w:id="319" w:name="_Toc246996208"/>
      <w:bookmarkStart w:id="320" w:name="_Toc179632582"/>
      <w:bookmarkStart w:id="321" w:name="_Toc14343"/>
      <w:bookmarkStart w:id="322" w:name="_Toc447265538"/>
      <w:bookmarkStart w:id="323" w:name="_Toc247085722"/>
      <w:bookmarkStart w:id="324" w:name="_Toc246996951"/>
      <w:bookmarkStart w:id="325" w:name="_Toc450489311"/>
      <w:bookmarkStart w:id="326" w:name="_Toc10210447"/>
      <w:r>
        <w:rPr>
          <w:rFonts w:ascii="宋体" w:hAnsi="宋体"/>
          <w:b/>
          <w:szCs w:val="21"/>
        </w:rPr>
        <w:t>6.2</w:t>
      </w:r>
      <w:r>
        <w:rPr>
          <w:rFonts w:hint="eastAsia" w:ascii="宋体" w:hAnsi="宋体"/>
          <w:b/>
          <w:szCs w:val="21"/>
        </w:rPr>
        <w:t>评标原则</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pStyle w:val="8"/>
        <w:tabs>
          <w:tab w:val="left" w:pos="630"/>
        </w:tabs>
        <w:snapToGrid w:val="0"/>
        <w:spacing w:line="360" w:lineRule="auto"/>
        <w:ind w:firstLine="420" w:firstLineChars="200"/>
        <w:rPr>
          <w:rFonts w:hAnsi="宋体"/>
          <w:sz w:val="21"/>
          <w:szCs w:val="21"/>
        </w:rPr>
      </w:pPr>
      <w:r>
        <w:rPr>
          <w:rFonts w:hAnsi="宋体"/>
          <w:sz w:val="21"/>
          <w:szCs w:val="21"/>
        </w:rPr>
        <w:t>6.2.1</w:t>
      </w:r>
      <w:r>
        <w:rPr>
          <w:rFonts w:hint="eastAsia" w:hAnsi="宋体"/>
          <w:sz w:val="21"/>
          <w:szCs w:val="21"/>
        </w:rPr>
        <w:t>评标活动遵循公平、公正、科学和择优的原则。</w:t>
      </w:r>
    </w:p>
    <w:p>
      <w:pPr>
        <w:spacing w:line="360" w:lineRule="auto"/>
        <w:outlineLvl w:val="2"/>
        <w:rPr>
          <w:rFonts w:ascii="宋体"/>
          <w:b/>
          <w:szCs w:val="21"/>
        </w:rPr>
      </w:pPr>
      <w:bookmarkStart w:id="327" w:name="_Toc447188701"/>
      <w:bookmarkStart w:id="328" w:name="_Toc447265253"/>
      <w:bookmarkStart w:id="329" w:name="_Toc23324"/>
      <w:bookmarkStart w:id="330" w:name="_Toc8657502"/>
      <w:bookmarkStart w:id="331" w:name="_Toc10210448"/>
      <w:bookmarkStart w:id="332" w:name="_Toc450489312"/>
      <w:bookmarkStart w:id="333" w:name="_Toc447265539"/>
      <w:r>
        <w:rPr>
          <w:rFonts w:ascii="宋体" w:hAnsi="宋体"/>
          <w:b/>
          <w:szCs w:val="21"/>
        </w:rPr>
        <w:t>6.3</w:t>
      </w:r>
      <w:r>
        <w:rPr>
          <w:rFonts w:hint="eastAsia" w:ascii="宋体" w:hAnsi="宋体"/>
          <w:b/>
          <w:szCs w:val="21"/>
        </w:rPr>
        <w:t>评标方法</w:t>
      </w:r>
      <w:bookmarkEnd w:id="327"/>
      <w:bookmarkEnd w:id="328"/>
      <w:bookmarkEnd w:id="329"/>
      <w:bookmarkEnd w:id="330"/>
      <w:bookmarkEnd w:id="331"/>
      <w:bookmarkEnd w:id="332"/>
      <w:bookmarkEnd w:id="333"/>
    </w:p>
    <w:p>
      <w:pPr>
        <w:pStyle w:val="8"/>
        <w:tabs>
          <w:tab w:val="left" w:pos="630"/>
        </w:tabs>
        <w:snapToGrid w:val="0"/>
        <w:spacing w:line="360" w:lineRule="auto"/>
        <w:ind w:firstLine="420" w:firstLineChars="200"/>
        <w:rPr>
          <w:rFonts w:hAnsi="宋体"/>
          <w:sz w:val="21"/>
          <w:szCs w:val="21"/>
        </w:rPr>
      </w:pPr>
      <w:r>
        <w:rPr>
          <w:rFonts w:hAnsi="宋体"/>
          <w:sz w:val="21"/>
          <w:szCs w:val="21"/>
        </w:rPr>
        <w:t>6.3.1</w:t>
      </w:r>
      <w:r>
        <w:rPr>
          <w:rFonts w:hint="eastAsia" w:hAnsi="宋体"/>
          <w:sz w:val="21"/>
          <w:szCs w:val="21"/>
        </w:rPr>
        <w:t>本项目评标采用</w:t>
      </w:r>
      <w:r>
        <w:rPr>
          <w:rFonts w:hint="eastAsia" w:ascii="宋体" w:hAnsi="宋体" w:cs="Times New Roman"/>
          <w:kern w:val="0"/>
          <w:sz w:val="21"/>
          <w:szCs w:val="21"/>
        </w:rPr>
        <w:t>经评审的最低投标价法</w:t>
      </w:r>
      <w:r>
        <w:rPr>
          <w:rFonts w:hint="eastAsia" w:hAnsi="宋体"/>
          <w:sz w:val="21"/>
          <w:szCs w:val="21"/>
        </w:rPr>
        <w:t>。</w:t>
      </w:r>
    </w:p>
    <w:p>
      <w:pPr>
        <w:spacing w:line="360" w:lineRule="auto"/>
        <w:outlineLvl w:val="2"/>
        <w:rPr>
          <w:rFonts w:ascii="宋体"/>
          <w:b/>
          <w:szCs w:val="21"/>
        </w:rPr>
      </w:pPr>
      <w:bookmarkStart w:id="334" w:name="_Toc15361"/>
      <w:bookmarkStart w:id="335" w:name="_Toc10210449"/>
      <w:bookmarkStart w:id="336" w:name="_Toc447265540"/>
      <w:bookmarkStart w:id="337" w:name="_Toc447188702"/>
      <w:bookmarkStart w:id="338" w:name="_Toc447265254"/>
      <w:bookmarkStart w:id="339" w:name="_Toc179632584"/>
      <w:bookmarkStart w:id="340" w:name="_Toc246996210"/>
      <w:bookmarkStart w:id="341" w:name="_Toc246996953"/>
      <w:bookmarkStart w:id="342" w:name="_Toc247085724"/>
      <w:bookmarkStart w:id="343" w:name="_Toc296602455"/>
      <w:bookmarkStart w:id="344" w:name="_Toc152045566"/>
      <w:bookmarkStart w:id="345" w:name="_Toc144974534"/>
      <w:bookmarkStart w:id="346" w:name="_Toc152042342"/>
      <w:r>
        <w:rPr>
          <w:rFonts w:ascii="宋体" w:hAnsi="宋体"/>
          <w:b/>
          <w:szCs w:val="21"/>
        </w:rPr>
        <w:t>6.4</w:t>
      </w:r>
      <w:r>
        <w:rPr>
          <w:rFonts w:hint="eastAsia" w:ascii="宋体" w:hAnsi="宋体"/>
          <w:b/>
          <w:szCs w:val="21"/>
        </w:rPr>
        <w:t>投标文件的澄清</w:t>
      </w:r>
      <w:bookmarkEnd w:id="334"/>
      <w:bookmarkEnd w:id="335"/>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为有助于投标文件的审查、评价和比较，评标委员会可以书面形式个别地要求投标人对投标文件含义不明确的内容作必要的澄清或说明，投标人应采用书面形式进行澄清或说明，但不允许更改投标文件的实质性内容。</w:t>
      </w:r>
    </w:p>
    <w:p>
      <w:pPr>
        <w:spacing w:line="360" w:lineRule="auto"/>
        <w:outlineLvl w:val="2"/>
        <w:rPr>
          <w:rFonts w:ascii="宋体"/>
          <w:b/>
          <w:szCs w:val="21"/>
        </w:rPr>
      </w:pPr>
      <w:bookmarkStart w:id="347" w:name="_Toc450489313"/>
      <w:bookmarkStart w:id="348" w:name="_Toc10210450"/>
      <w:bookmarkStart w:id="349" w:name="_Toc17816"/>
      <w:bookmarkStart w:id="350" w:name="_Toc8657503"/>
      <w:r>
        <w:rPr>
          <w:rFonts w:ascii="宋体" w:hAnsi="宋体"/>
          <w:b/>
          <w:szCs w:val="21"/>
        </w:rPr>
        <w:t>6.5</w:t>
      </w:r>
      <w:r>
        <w:rPr>
          <w:rFonts w:hint="eastAsia" w:ascii="宋体" w:hAnsi="宋体"/>
          <w:b/>
          <w:szCs w:val="21"/>
        </w:rPr>
        <w:t>中标候选人推荐原则</w:t>
      </w:r>
      <w:bookmarkEnd w:id="347"/>
      <w:bookmarkEnd w:id="348"/>
      <w:bookmarkEnd w:id="349"/>
      <w:bookmarkEnd w:id="350"/>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评标委员会应当根据《</w:t>
      </w:r>
      <w:r>
        <w:rPr>
          <w:rFonts w:hint="eastAsia"/>
          <w:kern w:val="2"/>
          <w:sz w:val="21"/>
          <w:szCs w:val="21"/>
        </w:rPr>
        <w:t>中华人民共和国招标投标法</w:t>
      </w:r>
      <w:r>
        <w:rPr>
          <w:rFonts w:hint="eastAsia" w:hAnsi="宋体"/>
          <w:sz w:val="21"/>
          <w:szCs w:val="21"/>
        </w:rPr>
        <w:t>》的有关规定推荐中标候选人，具体推荐原则见投标人须知前附表。</w:t>
      </w:r>
    </w:p>
    <w:p>
      <w:pPr>
        <w:spacing w:line="360" w:lineRule="auto"/>
        <w:outlineLvl w:val="2"/>
        <w:rPr>
          <w:rFonts w:ascii="宋体"/>
          <w:b/>
          <w:szCs w:val="21"/>
        </w:rPr>
      </w:pPr>
      <w:bookmarkStart w:id="351" w:name="_Toc17390"/>
      <w:bookmarkStart w:id="352" w:name="_Toc8657504"/>
      <w:bookmarkStart w:id="353" w:name="_Toc450489314"/>
      <w:bookmarkStart w:id="354" w:name="_Toc10210451"/>
      <w:r>
        <w:rPr>
          <w:rFonts w:ascii="宋体" w:hAnsi="宋体"/>
          <w:b/>
          <w:szCs w:val="21"/>
        </w:rPr>
        <w:t>6.6</w:t>
      </w:r>
      <w:r>
        <w:rPr>
          <w:rFonts w:hint="eastAsia" w:ascii="宋体" w:hAnsi="宋体"/>
          <w:b/>
          <w:szCs w:val="21"/>
        </w:rPr>
        <w:t>评标报告</w:t>
      </w:r>
      <w:bookmarkEnd w:id="336"/>
      <w:bookmarkEnd w:id="337"/>
      <w:bookmarkEnd w:id="338"/>
      <w:bookmarkEnd w:id="351"/>
      <w:bookmarkEnd w:id="352"/>
      <w:bookmarkEnd w:id="353"/>
      <w:bookmarkEnd w:id="354"/>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评标完成后，评标委员会应当根据《</w:t>
      </w:r>
      <w:r>
        <w:rPr>
          <w:rFonts w:hint="eastAsia"/>
          <w:kern w:val="2"/>
          <w:sz w:val="21"/>
          <w:szCs w:val="21"/>
        </w:rPr>
        <w:t>中华人民共和国招标投标法</w:t>
      </w:r>
      <w:r>
        <w:rPr>
          <w:rFonts w:hint="eastAsia" w:hAnsi="宋体"/>
          <w:sz w:val="21"/>
          <w:szCs w:val="21"/>
        </w:rPr>
        <w:t>》的有关规定及时向招标人提交评标报告和中标候选人名单。</w:t>
      </w:r>
    </w:p>
    <w:bookmarkEnd w:id="339"/>
    <w:bookmarkEnd w:id="340"/>
    <w:bookmarkEnd w:id="341"/>
    <w:bookmarkEnd w:id="342"/>
    <w:bookmarkEnd w:id="343"/>
    <w:bookmarkEnd w:id="344"/>
    <w:bookmarkEnd w:id="345"/>
    <w:bookmarkEnd w:id="346"/>
    <w:p>
      <w:pPr>
        <w:spacing w:line="360" w:lineRule="auto"/>
        <w:outlineLvl w:val="1"/>
        <w:rPr>
          <w:rFonts w:ascii="宋体"/>
          <w:b/>
          <w:szCs w:val="21"/>
        </w:rPr>
      </w:pPr>
      <w:bookmarkStart w:id="355" w:name="_Toc22475"/>
      <w:bookmarkStart w:id="356" w:name="_Toc10210452"/>
      <w:bookmarkStart w:id="357" w:name="_Toc8657505"/>
      <w:r>
        <w:rPr>
          <w:rFonts w:ascii="宋体" w:hAnsi="宋体"/>
          <w:b/>
          <w:szCs w:val="21"/>
        </w:rPr>
        <w:t>7.</w:t>
      </w:r>
      <w:r>
        <w:rPr>
          <w:rFonts w:hint="eastAsia" w:ascii="宋体" w:hAnsi="宋体"/>
          <w:b/>
          <w:szCs w:val="21"/>
        </w:rPr>
        <w:t>中标</w:t>
      </w:r>
      <w:bookmarkEnd w:id="306"/>
      <w:bookmarkEnd w:id="307"/>
      <w:bookmarkEnd w:id="308"/>
      <w:bookmarkEnd w:id="355"/>
      <w:bookmarkEnd w:id="356"/>
      <w:bookmarkEnd w:id="357"/>
    </w:p>
    <w:p>
      <w:pPr>
        <w:spacing w:line="360" w:lineRule="auto"/>
        <w:outlineLvl w:val="2"/>
        <w:rPr>
          <w:rFonts w:ascii="宋体"/>
          <w:b/>
          <w:szCs w:val="21"/>
        </w:rPr>
      </w:pPr>
      <w:bookmarkStart w:id="358" w:name="_Toc447265542"/>
      <w:bookmarkStart w:id="359" w:name="_Toc10210453"/>
      <w:bookmarkStart w:id="360" w:name="_Toc447188704"/>
      <w:bookmarkStart w:id="361" w:name="_Toc447265256"/>
      <w:bookmarkStart w:id="362" w:name="_Toc3841"/>
      <w:bookmarkStart w:id="363" w:name="_Toc8657506"/>
      <w:r>
        <w:rPr>
          <w:rFonts w:ascii="宋体" w:hAnsi="宋体"/>
          <w:b/>
          <w:szCs w:val="21"/>
        </w:rPr>
        <w:t>7.1</w:t>
      </w:r>
      <w:r>
        <w:rPr>
          <w:rFonts w:hint="eastAsia" w:ascii="宋体" w:hAnsi="宋体"/>
          <w:b/>
          <w:szCs w:val="21"/>
        </w:rPr>
        <w:t>中标候选人</w:t>
      </w:r>
      <w:bookmarkEnd w:id="358"/>
      <w:bookmarkEnd w:id="359"/>
      <w:bookmarkEnd w:id="360"/>
      <w:bookmarkEnd w:id="361"/>
      <w:bookmarkEnd w:id="362"/>
      <w:bookmarkEnd w:id="363"/>
    </w:p>
    <w:p>
      <w:pPr>
        <w:pStyle w:val="8"/>
        <w:tabs>
          <w:tab w:val="left" w:pos="630"/>
        </w:tabs>
        <w:snapToGrid w:val="0"/>
        <w:spacing w:line="360" w:lineRule="auto"/>
        <w:ind w:firstLine="420" w:firstLineChars="200"/>
        <w:rPr>
          <w:rFonts w:hAnsi="宋体"/>
          <w:sz w:val="21"/>
          <w:szCs w:val="21"/>
        </w:rPr>
      </w:pPr>
      <w:r>
        <w:rPr>
          <w:rFonts w:hAnsi="宋体"/>
          <w:sz w:val="21"/>
          <w:szCs w:val="21"/>
        </w:rPr>
        <w:t>7.1.1</w:t>
      </w:r>
      <w:r>
        <w:rPr>
          <w:rFonts w:hint="eastAsia" w:hAnsi="宋体"/>
          <w:sz w:val="21"/>
          <w:szCs w:val="21"/>
        </w:rPr>
        <w:t>招标人不对未中标人就评标过程以及未能中标原因作出任何解释。</w:t>
      </w:r>
      <w:bookmarkEnd w:id="309"/>
      <w:bookmarkEnd w:id="310"/>
      <w:bookmarkEnd w:id="311"/>
      <w:bookmarkEnd w:id="312"/>
      <w:bookmarkStart w:id="364" w:name="_Toc447265259"/>
      <w:bookmarkStart w:id="365" w:name="_Toc447265545"/>
      <w:bookmarkStart w:id="366" w:name="_Toc227057916"/>
      <w:bookmarkStart w:id="367" w:name="_Toc296602459"/>
      <w:bookmarkStart w:id="368" w:name="_Toc246996956"/>
      <w:bookmarkStart w:id="369" w:name="_Toc246996213"/>
      <w:bookmarkStart w:id="370" w:name="_Toc152042345"/>
      <w:bookmarkStart w:id="371" w:name="_Toc107822517"/>
      <w:bookmarkStart w:id="372" w:name="_Toc226969310"/>
      <w:bookmarkStart w:id="373" w:name="_Toc144974537"/>
      <w:bookmarkStart w:id="374" w:name="_Toc152045569"/>
      <w:bookmarkStart w:id="375" w:name="_Toc179632587"/>
      <w:bookmarkStart w:id="376" w:name="_Toc247085727"/>
    </w:p>
    <w:p>
      <w:pPr>
        <w:pStyle w:val="8"/>
        <w:tabs>
          <w:tab w:val="left" w:pos="630"/>
        </w:tabs>
        <w:snapToGrid w:val="0"/>
        <w:spacing w:line="360" w:lineRule="auto"/>
        <w:ind w:firstLine="420" w:firstLineChars="200"/>
        <w:rPr>
          <w:rFonts w:hAnsi="宋体"/>
          <w:sz w:val="21"/>
          <w:szCs w:val="21"/>
        </w:rPr>
      </w:pPr>
      <w:r>
        <w:rPr>
          <w:rFonts w:hAnsi="宋体"/>
          <w:sz w:val="21"/>
          <w:szCs w:val="21"/>
        </w:rPr>
        <w:t>7.1.2</w:t>
      </w:r>
      <w:r>
        <w:rPr>
          <w:rFonts w:hint="eastAsia" w:hAnsi="宋体"/>
          <w:sz w:val="21"/>
          <w:szCs w:val="21"/>
        </w:rPr>
        <w:t>以中标通知书确定的中标候选人为准。</w:t>
      </w:r>
    </w:p>
    <w:p>
      <w:pPr>
        <w:spacing w:line="360" w:lineRule="auto"/>
        <w:outlineLvl w:val="2"/>
        <w:rPr>
          <w:rFonts w:ascii="宋体"/>
          <w:b/>
          <w:szCs w:val="21"/>
        </w:rPr>
      </w:pPr>
      <w:bookmarkStart w:id="377" w:name="_Toc10210454"/>
      <w:bookmarkStart w:id="378" w:name="_Toc447265543"/>
      <w:bookmarkStart w:id="379" w:name="_Toc8657507"/>
      <w:bookmarkStart w:id="380" w:name="_Toc450489317"/>
      <w:bookmarkStart w:id="381" w:name="_Toc447188705"/>
      <w:bookmarkStart w:id="382" w:name="_Toc29355"/>
      <w:bookmarkStart w:id="383" w:name="_Toc447265257"/>
      <w:r>
        <w:rPr>
          <w:rFonts w:ascii="宋体" w:hAnsi="宋体"/>
          <w:b/>
          <w:szCs w:val="21"/>
        </w:rPr>
        <w:t>7.2</w:t>
      </w:r>
      <w:r>
        <w:rPr>
          <w:rFonts w:hint="eastAsia" w:ascii="宋体" w:hAnsi="宋体"/>
          <w:b/>
          <w:szCs w:val="21"/>
        </w:rPr>
        <w:t>确定中标人</w:t>
      </w:r>
      <w:bookmarkEnd w:id="377"/>
      <w:bookmarkEnd w:id="378"/>
      <w:bookmarkEnd w:id="379"/>
      <w:bookmarkEnd w:id="380"/>
      <w:bookmarkEnd w:id="381"/>
      <w:bookmarkEnd w:id="382"/>
      <w:bookmarkEnd w:id="383"/>
    </w:p>
    <w:p>
      <w:pPr>
        <w:pStyle w:val="8"/>
        <w:tabs>
          <w:tab w:val="left" w:pos="630"/>
        </w:tabs>
        <w:snapToGrid w:val="0"/>
        <w:spacing w:line="360" w:lineRule="auto"/>
        <w:ind w:firstLine="420" w:firstLineChars="200"/>
        <w:rPr>
          <w:rFonts w:hAnsi="宋体"/>
          <w:sz w:val="21"/>
          <w:szCs w:val="21"/>
        </w:rPr>
      </w:pPr>
      <w:r>
        <w:rPr>
          <w:rFonts w:hAnsi="宋体"/>
          <w:sz w:val="21"/>
          <w:szCs w:val="21"/>
        </w:rPr>
        <w:t>7.2.1</w:t>
      </w:r>
      <w:r>
        <w:rPr>
          <w:rFonts w:hint="eastAsia" w:hAnsi="宋体"/>
          <w:sz w:val="21"/>
          <w:szCs w:val="21"/>
        </w:rPr>
        <w:t>招标人依据评标委员会推荐的中标候选人确定中标人，中标人数量见投标人须知前附表。</w:t>
      </w:r>
    </w:p>
    <w:p>
      <w:pPr>
        <w:pStyle w:val="8"/>
        <w:tabs>
          <w:tab w:val="left" w:pos="630"/>
        </w:tabs>
        <w:snapToGrid w:val="0"/>
        <w:spacing w:line="360" w:lineRule="auto"/>
        <w:ind w:firstLine="420" w:firstLineChars="200"/>
        <w:rPr>
          <w:rFonts w:hAnsi="宋体"/>
          <w:sz w:val="21"/>
          <w:szCs w:val="21"/>
        </w:rPr>
      </w:pPr>
      <w:r>
        <w:rPr>
          <w:rFonts w:hAnsi="宋体"/>
          <w:sz w:val="21"/>
          <w:szCs w:val="21"/>
        </w:rPr>
        <w:t>7.2.</w:t>
      </w:r>
      <w:r>
        <w:rPr>
          <w:rFonts w:hint="eastAsia" w:hAnsi="宋体"/>
          <w:sz w:val="21"/>
          <w:szCs w:val="21"/>
        </w:rPr>
        <w:t>2在签订合同之前，中标人放弃中标或者不能履行合同的，招标人可以按照评标委员会提出的中标候选人名单排序依次确定其他中标候选人为中标人，也可以重新招标。</w:t>
      </w:r>
    </w:p>
    <w:p>
      <w:pPr>
        <w:spacing w:line="360" w:lineRule="auto"/>
        <w:outlineLvl w:val="2"/>
        <w:rPr>
          <w:rFonts w:ascii="宋体"/>
          <w:b/>
          <w:szCs w:val="21"/>
        </w:rPr>
      </w:pPr>
      <w:bookmarkStart w:id="384" w:name="_Toc10210455"/>
      <w:bookmarkStart w:id="385" w:name="_Toc246996212"/>
      <w:bookmarkStart w:id="386" w:name="_Toc152045568"/>
      <w:bookmarkStart w:id="387" w:name="_Toc247085726"/>
      <w:bookmarkStart w:id="388" w:name="_Toc447265258"/>
      <w:bookmarkStart w:id="389" w:name="_Toc296602458"/>
      <w:bookmarkStart w:id="390" w:name="_Toc450489318"/>
      <w:bookmarkStart w:id="391" w:name="_Toc144974536"/>
      <w:bookmarkStart w:id="392" w:name="_Toc447265544"/>
      <w:bookmarkStart w:id="393" w:name="_Toc152042344"/>
      <w:bookmarkStart w:id="394" w:name="_Toc18112"/>
      <w:bookmarkStart w:id="395" w:name="_Toc246996955"/>
      <w:bookmarkStart w:id="396" w:name="_Toc179632586"/>
      <w:bookmarkStart w:id="397" w:name="_Toc8657508"/>
      <w:bookmarkStart w:id="398" w:name="OLE_LINK7"/>
      <w:bookmarkStart w:id="399" w:name="OLE_LINK6"/>
      <w:r>
        <w:rPr>
          <w:rFonts w:ascii="宋体" w:hAnsi="宋体"/>
          <w:b/>
          <w:szCs w:val="21"/>
        </w:rPr>
        <w:t>7.3</w:t>
      </w:r>
      <w:r>
        <w:rPr>
          <w:rFonts w:hint="eastAsia" w:ascii="宋体" w:hAnsi="宋体"/>
          <w:b/>
          <w:szCs w:val="21"/>
        </w:rPr>
        <w:t>中标通知</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pStyle w:val="8"/>
        <w:tabs>
          <w:tab w:val="left" w:pos="630"/>
        </w:tabs>
        <w:snapToGrid w:val="0"/>
        <w:spacing w:line="360" w:lineRule="auto"/>
        <w:ind w:firstLine="420" w:firstLineChars="200"/>
        <w:rPr>
          <w:rFonts w:hAnsi="宋体"/>
          <w:sz w:val="21"/>
          <w:szCs w:val="21"/>
        </w:rPr>
      </w:pPr>
      <w:r>
        <w:rPr>
          <w:rFonts w:hAnsi="宋体"/>
          <w:sz w:val="21"/>
          <w:szCs w:val="21"/>
        </w:rPr>
        <w:t>7.3.1</w:t>
      </w:r>
      <w:r>
        <w:rPr>
          <w:rFonts w:hint="eastAsia" w:hAnsi="宋体"/>
          <w:sz w:val="21"/>
          <w:szCs w:val="21"/>
        </w:rPr>
        <w:t>在中标通知书发出前，中标候选人的经营、财务状况发生较大变化或者存在违法行为，可能影响其履约能力的，投标人应当主动告知招标人。</w:t>
      </w:r>
      <w:bookmarkEnd w:id="398"/>
      <w:bookmarkEnd w:id="399"/>
    </w:p>
    <w:p>
      <w:pPr>
        <w:pStyle w:val="8"/>
        <w:tabs>
          <w:tab w:val="left" w:pos="630"/>
        </w:tabs>
        <w:snapToGrid w:val="0"/>
        <w:spacing w:line="360" w:lineRule="auto"/>
        <w:ind w:firstLine="420" w:firstLineChars="200"/>
        <w:rPr>
          <w:rFonts w:hAnsi="宋体"/>
          <w:sz w:val="21"/>
          <w:szCs w:val="21"/>
        </w:rPr>
      </w:pPr>
      <w:r>
        <w:rPr>
          <w:rFonts w:hAnsi="宋体"/>
          <w:sz w:val="21"/>
          <w:szCs w:val="21"/>
        </w:rPr>
        <w:t>7.3.2</w:t>
      </w:r>
      <w:r>
        <w:rPr>
          <w:rFonts w:hint="eastAsia" w:hAnsi="宋体"/>
          <w:sz w:val="21"/>
          <w:szCs w:val="21"/>
        </w:rPr>
        <w:t>中标人确定后，招标人向中标人发出中标通知书，同时向未中标人发放未中标通知书。</w:t>
      </w:r>
    </w:p>
    <w:p>
      <w:pPr>
        <w:pStyle w:val="8"/>
        <w:tabs>
          <w:tab w:val="left" w:pos="630"/>
        </w:tabs>
        <w:snapToGrid w:val="0"/>
        <w:spacing w:line="360" w:lineRule="auto"/>
        <w:ind w:firstLine="420" w:firstLineChars="200"/>
        <w:rPr>
          <w:rFonts w:hAnsi="宋体"/>
          <w:sz w:val="21"/>
          <w:szCs w:val="21"/>
        </w:rPr>
      </w:pPr>
      <w:r>
        <w:rPr>
          <w:rFonts w:hAnsi="宋体"/>
          <w:sz w:val="21"/>
          <w:szCs w:val="21"/>
        </w:rPr>
        <w:t>7.3.3</w:t>
      </w:r>
      <w:r>
        <w:rPr>
          <w:rFonts w:hint="eastAsia" w:hAnsi="宋体"/>
          <w:sz w:val="21"/>
          <w:szCs w:val="21"/>
        </w:rPr>
        <w:t>中标通知书是招标投标档案的组成部分。</w:t>
      </w:r>
    </w:p>
    <w:p>
      <w:pPr>
        <w:pStyle w:val="8"/>
        <w:tabs>
          <w:tab w:val="left" w:pos="630"/>
        </w:tabs>
        <w:snapToGrid w:val="0"/>
        <w:spacing w:line="360" w:lineRule="auto"/>
        <w:ind w:firstLine="420" w:firstLineChars="200"/>
        <w:rPr>
          <w:rFonts w:hAnsi="宋体"/>
          <w:sz w:val="21"/>
          <w:szCs w:val="21"/>
        </w:rPr>
      </w:pPr>
      <w:r>
        <w:rPr>
          <w:rFonts w:hAnsi="宋体"/>
          <w:sz w:val="21"/>
          <w:szCs w:val="21"/>
        </w:rPr>
        <w:t>7.3.4</w:t>
      </w:r>
      <w:r>
        <w:rPr>
          <w:rFonts w:hint="eastAsia" w:hAnsi="宋体"/>
          <w:sz w:val="21"/>
          <w:szCs w:val="21"/>
        </w:rPr>
        <w:t>中标通知书对招标人和中标人具有法律约束力。中标通知书发出后，招标人改变中标结果或者中标人放弃中标的，应当承担法律责任。</w:t>
      </w:r>
    </w:p>
    <w:p>
      <w:pPr>
        <w:spacing w:line="360" w:lineRule="auto"/>
        <w:outlineLvl w:val="1"/>
        <w:rPr>
          <w:rFonts w:ascii="宋体"/>
          <w:b/>
          <w:szCs w:val="21"/>
        </w:rPr>
      </w:pPr>
      <w:bookmarkStart w:id="400" w:name="_Toc10210456"/>
      <w:bookmarkStart w:id="401" w:name="_Toc15482"/>
      <w:bookmarkStart w:id="402" w:name="_Toc8657509"/>
      <w:r>
        <w:rPr>
          <w:rFonts w:ascii="宋体" w:hAnsi="宋体"/>
          <w:b/>
          <w:szCs w:val="21"/>
        </w:rPr>
        <w:t>8.</w:t>
      </w:r>
      <w:r>
        <w:rPr>
          <w:rFonts w:hint="eastAsia" w:ascii="宋体" w:hAnsi="宋体"/>
          <w:b/>
          <w:szCs w:val="21"/>
        </w:rPr>
        <w:t>合同签订</w:t>
      </w:r>
      <w:bookmarkEnd w:id="364"/>
      <w:bookmarkEnd w:id="365"/>
      <w:bookmarkEnd w:id="400"/>
      <w:bookmarkEnd w:id="401"/>
      <w:bookmarkEnd w:id="402"/>
    </w:p>
    <w:bookmarkEnd w:id="366"/>
    <w:bookmarkEnd w:id="367"/>
    <w:bookmarkEnd w:id="368"/>
    <w:bookmarkEnd w:id="369"/>
    <w:bookmarkEnd w:id="370"/>
    <w:bookmarkEnd w:id="371"/>
    <w:bookmarkEnd w:id="372"/>
    <w:bookmarkEnd w:id="373"/>
    <w:bookmarkEnd w:id="374"/>
    <w:bookmarkEnd w:id="375"/>
    <w:bookmarkEnd w:id="376"/>
    <w:p>
      <w:pPr>
        <w:pStyle w:val="8"/>
        <w:tabs>
          <w:tab w:val="left" w:pos="630"/>
        </w:tabs>
        <w:snapToGrid w:val="0"/>
        <w:spacing w:line="360" w:lineRule="auto"/>
        <w:ind w:firstLine="420" w:firstLineChars="200"/>
        <w:rPr>
          <w:rFonts w:hAnsi="宋体"/>
          <w:sz w:val="21"/>
          <w:szCs w:val="21"/>
        </w:rPr>
      </w:pPr>
      <w:bookmarkStart w:id="403" w:name="_Toc447265263"/>
      <w:bookmarkStart w:id="404" w:name="_Toc447265549"/>
      <w:bookmarkStart w:id="405" w:name="_Toc226969312"/>
      <w:bookmarkStart w:id="406" w:name="_Toc447188707"/>
      <w:bookmarkStart w:id="407" w:name="_Toc488655867"/>
      <w:bookmarkStart w:id="408" w:name="_Toc107822519"/>
      <w:bookmarkStart w:id="409" w:name="_Toc227057918"/>
      <w:r>
        <w:rPr>
          <w:rFonts w:hAnsi="宋体"/>
          <w:sz w:val="21"/>
          <w:szCs w:val="21"/>
        </w:rPr>
        <w:t>8.1</w:t>
      </w:r>
      <w:r>
        <w:rPr>
          <w:rFonts w:hint="eastAsia" w:hAnsi="宋体"/>
          <w:sz w:val="21"/>
          <w:szCs w:val="21"/>
        </w:rPr>
        <w:t>招标人和中标人应当自中标通知书发出之日起</w:t>
      </w:r>
      <w:r>
        <w:rPr>
          <w:rFonts w:hAnsi="宋体"/>
          <w:sz w:val="21"/>
          <w:szCs w:val="21"/>
        </w:rPr>
        <w:t>30</w:t>
      </w:r>
      <w:r>
        <w:rPr>
          <w:rFonts w:hint="eastAsia" w:hAnsi="宋体"/>
          <w:sz w:val="21"/>
          <w:szCs w:val="21"/>
        </w:rPr>
        <w:t>日内，根据招标文件和中标人的投标文件订立书面合同。招标人和中标人不得订立背离合同实质性内容的其他协议。</w:t>
      </w:r>
    </w:p>
    <w:p>
      <w:pPr>
        <w:pStyle w:val="8"/>
        <w:tabs>
          <w:tab w:val="left" w:pos="630"/>
        </w:tabs>
        <w:snapToGrid w:val="0"/>
        <w:spacing w:line="360" w:lineRule="auto"/>
        <w:ind w:firstLine="420" w:firstLineChars="200"/>
        <w:rPr>
          <w:rFonts w:hAnsi="宋体"/>
          <w:sz w:val="21"/>
          <w:szCs w:val="21"/>
        </w:rPr>
      </w:pPr>
      <w:r>
        <w:rPr>
          <w:rFonts w:hAnsi="宋体"/>
          <w:sz w:val="21"/>
          <w:szCs w:val="21"/>
        </w:rPr>
        <w:t>8.2</w:t>
      </w:r>
      <w:r>
        <w:rPr>
          <w:rFonts w:hint="eastAsia" w:hAnsi="宋体"/>
          <w:sz w:val="21"/>
          <w:szCs w:val="21"/>
        </w:rPr>
        <w:t>中标人无正当理由拒签合同的，招标人取消其中标资格，其投标保证金不予退还；给招标人造成的损失超过投标保证金数额的，中标人还应当对超过部分予以赔偿。</w:t>
      </w:r>
    </w:p>
    <w:bookmarkEnd w:id="403"/>
    <w:bookmarkEnd w:id="404"/>
    <w:bookmarkEnd w:id="405"/>
    <w:bookmarkEnd w:id="406"/>
    <w:bookmarkEnd w:id="407"/>
    <w:bookmarkEnd w:id="408"/>
    <w:bookmarkEnd w:id="409"/>
    <w:p>
      <w:pPr>
        <w:spacing w:line="360" w:lineRule="auto"/>
        <w:outlineLvl w:val="1"/>
        <w:rPr>
          <w:rFonts w:ascii="宋体"/>
          <w:b/>
          <w:szCs w:val="21"/>
        </w:rPr>
      </w:pPr>
      <w:bookmarkStart w:id="410" w:name="_Toc447265264"/>
      <w:bookmarkStart w:id="411" w:name="_Toc296602461"/>
      <w:bookmarkStart w:id="412" w:name="_Toc10210458"/>
      <w:bookmarkStart w:id="413" w:name="_Toc8657513"/>
      <w:bookmarkStart w:id="414" w:name="_Toc447265550"/>
      <w:bookmarkStart w:id="415" w:name="_Toc30669"/>
      <w:bookmarkStart w:id="416" w:name="_Toc447188708"/>
      <w:r>
        <w:rPr>
          <w:rFonts w:ascii="宋体" w:hAnsi="宋体"/>
          <w:b/>
          <w:szCs w:val="21"/>
        </w:rPr>
        <w:t>9.</w:t>
      </w:r>
      <w:r>
        <w:rPr>
          <w:rFonts w:hint="eastAsia" w:ascii="宋体" w:hAnsi="宋体"/>
          <w:b/>
          <w:szCs w:val="21"/>
        </w:rPr>
        <w:t>纪律和监督</w:t>
      </w:r>
      <w:bookmarkEnd w:id="410"/>
      <w:bookmarkEnd w:id="411"/>
      <w:bookmarkEnd w:id="412"/>
      <w:bookmarkEnd w:id="413"/>
      <w:bookmarkEnd w:id="414"/>
      <w:bookmarkEnd w:id="415"/>
      <w:bookmarkEnd w:id="416"/>
    </w:p>
    <w:p>
      <w:pPr>
        <w:spacing w:line="360" w:lineRule="auto"/>
        <w:outlineLvl w:val="2"/>
        <w:rPr>
          <w:rFonts w:ascii="宋体"/>
          <w:b/>
          <w:szCs w:val="21"/>
        </w:rPr>
      </w:pPr>
      <w:bookmarkStart w:id="417" w:name="_Toc179632593"/>
      <w:bookmarkStart w:id="418" w:name="_Toc8657514"/>
      <w:bookmarkStart w:id="419" w:name="_Toc247085733"/>
      <w:bookmarkStart w:id="420" w:name="_Toc296602462"/>
      <w:bookmarkStart w:id="421" w:name="_Toc10210459"/>
      <w:bookmarkStart w:id="422" w:name="_Toc246996962"/>
      <w:bookmarkStart w:id="423" w:name="_Toc152042351"/>
      <w:bookmarkStart w:id="424" w:name="_Toc152045575"/>
      <w:bookmarkStart w:id="425" w:name="_Toc447265551"/>
      <w:bookmarkStart w:id="426" w:name="_Toc22781"/>
      <w:bookmarkStart w:id="427" w:name="_Toc447265265"/>
      <w:bookmarkStart w:id="428" w:name="_Toc296590983"/>
      <w:bookmarkStart w:id="429" w:name="_Toc246996219"/>
      <w:bookmarkStart w:id="430" w:name="_Toc144974543"/>
      <w:r>
        <w:rPr>
          <w:rFonts w:ascii="宋体" w:hAnsi="宋体"/>
          <w:b/>
          <w:szCs w:val="21"/>
        </w:rPr>
        <w:t>9.1</w:t>
      </w:r>
      <w:r>
        <w:rPr>
          <w:rFonts w:hint="eastAsia" w:ascii="宋体" w:hAnsi="宋体"/>
          <w:b/>
          <w:szCs w:val="21"/>
        </w:rPr>
        <w:t>对招标人的纪律要求</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招标人不得泄漏招标投标活动中应当保密的情况和资料，不得与投标人串通损害国家利益、社会公共利益或者他人合法权益。</w:t>
      </w:r>
    </w:p>
    <w:p>
      <w:pPr>
        <w:spacing w:line="360" w:lineRule="auto"/>
        <w:outlineLvl w:val="2"/>
        <w:rPr>
          <w:rFonts w:ascii="宋体"/>
          <w:b/>
          <w:szCs w:val="21"/>
        </w:rPr>
      </w:pPr>
      <w:bookmarkStart w:id="431" w:name="_Toc447265552"/>
      <w:bookmarkStart w:id="432" w:name="_Toc10210460"/>
      <w:bookmarkStart w:id="433" w:name="_Toc144974544"/>
      <w:bookmarkStart w:id="434" w:name="_Toc447265266"/>
      <w:bookmarkStart w:id="435" w:name="_Toc8657515"/>
      <w:bookmarkStart w:id="436" w:name="_Toc483"/>
      <w:bookmarkStart w:id="437" w:name="_Toc247085734"/>
      <w:bookmarkStart w:id="438" w:name="_Toc296602463"/>
      <w:bookmarkStart w:id="439" w:name="_Toc246996220"/>
      <w:bookmarkStart w:id="440" w:name="_Toc246996963"/>
      <w:bookmarkStart w:id="441" w:name="_Toc152042352"/>
      <w:bookmarkStart w:id="442" w:name="_Toc152045576"/>
      <w:bookmarkStart w:id="443" w:name="_Toc179632594"/>
      <w:r>
        <w:rPr>
          <w:rFonts w:ascii="宋体" w:hAnsi="宋体"/>
          <w:b/>
          <w:szCs w:val="21"/>
        </w:rPr>
        <w:t>9.2</w:t>
      </w:r>
      <w:r>
        <w:rPr>
          <w:rFonts w:hint="eastAsia" w:ascii="宋体" w:hAnsi="宋体"/>
          <w:b/>
          <w:szCs w:val="21"/>
        </w:rPr>
        <w:t>对投标人的纪律要求</w:t>
      </w:r>
      <w:bookmarkEnd w:id="431"/>
      <w:bookmarkEnd w:id="432"/>
      <w:bookmarkEnd w:id="433"/>
      <w:bookmarkEnd w:id="434"/>
      <w:bookmarkEnd w:id="435"/>
      <w:bookmarkEnd w:id="436"/>
      <w:bookmarkEnd w:id="437"/>
      <w:bookmarkEnd w:id="438"/>
      <w:bookmarkEnd w:id="439"/>
      <w:bookmarkEnd w:id="440"/>
      <w:bookmarkEnd w:id="441"/>
      <w:bookmarkEnd w:id="442"/>
      <w:bookmarkEnd w:id="443"/>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outlineLvl w:val="2"/>
        <w:rPr>
          <w:rFonts w:ascii="宋体"/>
          <w:b/>
          <w:szCs w:val="21"/>
        </w:rPr>
      </w:pPr>
      <w:bookmarkStart w:id="444" w:name="_Toc447265553"/>
      <w:bookmarkStart w:id="445" w:name="_Toc20481"/>
      <w:bookmarkStart w:id="446" w:name="_Toc8657516"/>
      <w:bookmarkStart w:id="447" w:name="_Toc152045577"/>
      <w:bookmarkStart w:id="448" w:name="_Toc247085735"/>
      <w:bookmarkStart w:id="449" w:name="_Toc144974545"/>
      <w:bookmarkStart w:id="450" w:name="_Toc246996221"/>
      <w:bookmarkStart w:id="451" w:name="_Toc246996964"/>
      <w:bookmarkStart w:id="452" w:name="_Toc10210461"/>
      <w:bookmarkStart w:id="453" w:name="_Toc447265267"/>
      <w:bookmarkStart w:id="454" w:name="_Toc296602464"/>
      <w:bookmarkStart w:id="455" w:name="_Toc152042353"/>
      <w:bookmarkStart w:id="456" w:name="_Toc179632595"/>
      <w:r>
        <w:rPr>
          <w:rFonts w:ascii="宋体" w:hAnsi="宋体"/>
          <w:b/>
          <w:szCs w:val="21"/>
        </w:rPr>
        <w:t>9.3</w:t>
      </w:r>
      <w:r>
        <w:rPr>
          <w:rFonts w:hint="eastAsia" w:ascii="宋体" w:hAnsi="宋体"/>
          <w:b/>
          <w:szCs w:val="21"/>
        </w:rPr>
        <w:t>对评标委员会成员的纪律要求</w:t>
      </w:r>
      <w:bookmarkEnd w:id="444"/>
      <w:bookmarkEnd w:id="445"/>
      <w:bookmarkEnd w:id="446"/>
      <w:bookmarkEnd w:id="447"/>
      <w:bookmarkEnd w:id="448"/>
      <w:bookmarkEnd w:id="449"/>
      <w:bookmarkEnd w:id="450"/>
      <w:bookmarkEnd w:id="451"/>
      <w:bookmarkEnd w:id="452"/>
      <w:bookmarkEnd w:id="453"/>
      <w:bookmarkEnd w:id="454"/>
      <w:bookmarkEnd w:id="455"/>
      <w:bookmarkEnd w:id="456"/>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outlineLvl w:val="2"/>
        <w:rPr>
          <w:rFonts w:ascii="宋体"/>
          <w:b/>
          <w:szCs w:val="21"/>
        </w:rPr>
      </w:pPr>
      <w:bookmarkStart w:id="457" w:name="_Toc246996965"/>
      <w:bookmarkStart w:id="458" w:name="_Toc447265554"/>
      <w:bookmarkStart w:id="459" w:name="_Toc8657517"/>
      <w:bookmarkStart w:id="460" w:name="_Toc247085736"/>
      <w:bookmarkStart w:id="461" w:name="_Toc296602465"/>
      <w:bookmarkStart w:id="462" w:name="_Toc246996222"/>
      <w:bookmarkStart w:id="463" w:name="_Toc16553"/>
      <w:bookmarkStart w:id="464" w:name="_Toc179632596"/>
      <w:bookmarkStart w:id="465" w:name="_Toc10210462"/>
      <w:bookmarkStart w:id="466" w:name="_Toc447265268"/>
      <w:bookmarkStart w:id="467" w:name="_Toc152045578"/>
      <w:bookmarkStart w:id="468" w:name="_Toc152042354"/>
      <w:bookmarkStart w:id="469" w:name="_Toc144974546"/>
      <w:r>
        <w:rPr>
          <w:rFonts w:ascii="宋体" w:hAnsi="宋体"/>
          <w:b/>
          <w:szCs w:val="21"/>
        </w:rPr>
        <w:t>9.4</w:t>
      </w:r>
      <w:r>
        <w:rPr>
          <w:rFonts w:hint="eastAsia" w:ascii="宋体" w:hAnsi="宋体"/>
          <w:b/>
          <w:szCs w:val="21"/>
        </w:rPr>
        <w:t>对与评标活动有关的工作人员的纪律要求</w:t>
      </w:r>
      <w:bookmarkEnd w:id="457"/>
      <w:bookmarkEnd w:id="458"/>
      <w:bookmarkEnd w:id="459"/>
      <w:bookmarkEnd w:id="460"/>
      <w:bookmarkEnd w:id="461"/>
      <w:bookmarkEnd w:id="462"/>
      <w:bookmarkEnd w:id="463"/>
      <w:bookmarkEnd w:id="464"/>
      <w:bookmarkEnd w:id="465"/>
      <w:bookmarkEnd w:id="466"/>
      <w:bookmarkEnd w:id="467"/>
      <w:bookmarkEnd w:id="468"/>
    </w:p>
    <w:p>
      <w:pPr>
        <w:pStyle w:val="8"/>
        <w:tabs>
          <w:tab w:val="left" w:pos="630"/>
        </w:tabs>
        <w:snapToGrid w:val="0"/>
        <w:spacing w:line="360" w:lineRule="auto"/>
        <w:ind w:firstLine="420" w:firstLineChars="200"/>
        <w:rPr>
          <w:rFonts w:hAnsi="宋体"/>
          <w:sz w:val="21"/>
          <w:szCs w:val="21"/>
        </w:rPr>
      </w:pPr>
      <w:bookmarkStart w:id="470" w:name="_Toc152042355"/>
      <w:r>
        <w:rPr>
          <w:rFonts w:hint="eastAsia" w:hAnsi="宋体"/>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70"/>
    </w:p>
    <w:p>
      <w:pPr>
        <w:spacing w:line="360" w:lineRule="auto"/>
        <w:outlineLvl w:val="2"/>
        <w:rPr>
          <w:rFonts w:ascii="宋体"/>
          <w:b/>
          <w:szCs w:val="21"/>
        </w:rPr>
      </w:pPr>
      <w:bookmarkStart w:id="471" w:name="_Toc296602466"/>
      <w:bookmarkStart w:id="472" w:name="_Toc179632597"/>
      <w:bookmarkStart w:id="473" w:name="_Toc447265269"/>
      <w:bookmarkStart w:id="474" w:name="_Toc447265555"/>
      <w:bookmarkStart w:id="475" w:name="_Toc32085"/>
      <w:bookmarkStart w:id="476" w:name="_Toc8657518"/>
      <w:bookmarkStart w:id="477" w:name="_Toc246996223"/>
      <w:bookmarkStart w:id="478" w:name="_Toc152042356"/>
      <w:bookmarkStart w:id="479" w:name="_Toc10210463"/>
      <w:bookmarkStart w:id="480" w:name="_Toc152045579"/>
      <w:bookmarkStart w:id="481" w:name="_Toc247085737"/>
      <w:bookmarkStart w:id="482" w:name="_Toc246996966"/>
      <w:r>
        <w:rPr>
          <w:rFonts w:ascii="宋体" w:hAnsi="宋体"/>
          <w:b/>
          <w:szCs w:val="21"/>
        </w:rPr>
        <w:t>9.5</w:t>
      </w:r>
      <w:r>
        <w:rPr>
          <w:rFonts w:hint="eastAsia" w:ascii="宋体" w:hAnsi="宋体"/>
          <w:b/>
          <w:szCs w:val="21"/>
        </w:rPr>
        <w:t>投诉</w:t>
      </w:r>
      <w:bookmarkEnd w:id="469"/>
      <w:bookmarkEnd w:id="471"/>
      <w:bookmarkEnd w:id="472"/>
      <w:bookmarkEnd w:id="473"/>
      <w:bookmarkEnd w:id="474"/>
      <w:bookmarkEnd w:id="475"/>
      <w:bookmarkEnd w:id="476"/>
      <w:bookmarkEnd w:id="477"/>
      <w:bookmarkEnd w:id="478"/>
      <w:bookmarkEnd w:id="479"/>
      <w:bookmarkEnd w:id="480"/>
      <w:bookmarkEnd w:id="481"/>
      <w:bookmarkEnd w:id="482"/>
    </w:p>
    <w:p>
      <w:pPr>
        <w:pStyle w:val="8"/>
        <w:tabs>
          <w:tab w:val="left" w:pos="630"/>
        </w:tabs>
        <w:snapToGrid w:val="0"/>
        <w:spacing w:line="360" w:lineRule="auto"/>
        <w:ind w:firstLine="420" w:firstLineChars="200"/>
        <w:rPr>
          <w:rFonts w:hAnsi="宋体"/>
          <w:sz w:val="21"/>
          <w:szCs w:val="21"/>
        </w:rPr>
      </w:pPr>
      <w:r>
        <w:rPr>
          <w:rFonts w:hint="eastAsia" w:hAnsi="宋体"/>
          <w:sz w:val="21"/>
          <w:szCs w:val="21"/>
        </w:rPr>
        <w:t>投标人或者其他利害关系人认为招标投标活动不符合法律、法规规定的，可以自知道或者应当知道之日起</w:t>
      </w:r>
      <w:r>
        <w:rPr>
          <w:rFonts w:hAnsi="宋体"/>
          <w:sz w:val="21"/>
          <w:szCs w:val="21"/>
        </w:rPr>
        <w:t>10</w:t>
      </w:r>
      <w:r>
        <w:rPr>
          <w:rFonts w:hint="eastAsia" w:hAnsi="宋体"/>
          <w:sz w:val="21"/>
          <w:szCs w:val="21"/>
        </w:rPr>
        <w:t>日内向有关行政监督部门投诉。投诉应当有明确的请求和必要的证明材料。就招标文件、开标、中标候选人公示投诉的，应当先向招标人提出异议，异议答复期间不计算在前款规定的期限内。</w:t>
      </w:r>
    </w:p>
    <w:p>
      <w:pPr>
        <w:spacing w:line="360" w:lineRule="auto"/>
        <w:outlineLvl w:val="1"/>
        <w:rPr>
          <w:rFonts w:ascii="宋体"/>
          <w:b/>
          <w:szCs w:val="21"/>
        </w:rPr>
      </w:pPr>
      <w:bookmarkStart w:id="483" w:name="_Toc447265270"/>
      <w:bookmarkStart w:id="484" w:name="_Toc152042357"/>
      <w:bookmarkStart w:id="485" w:name="_Toc296602467"/>
      <w:bookmarkStart w:id="486" w:name="_Toc447188709"/>
      <w:bookmarkStart w:id="487" w:name="_Toc247085738"/>
      <w:bookmarkStart w:id="488" w:name="_Toc447265556"/>
      <w:bookmarkStart w:id="489" w:name="_Toc10210464"/>
      <w:bookmarkStart w:id="490" w:name="_Toc179632598"/>
      <w:bookmarkStart w:id="491" w:name="_Toc144974547"/>
      <w:bookmarkStart w:id="492" w:name="_Toc8657519"/>
      <w:bookmarkStart w:id="493" w:name="_Toc152045580"/>
      <w:bookmarkStart w:id="494" w:name="_Toc31832"/>
      <w:bookmarkStart w:id="495" w:name="_Toc246996967"/>
      <w:bookmarkStart w:id="496" w:name="_Toc246996224"/>
      <w:r>
        <w:rPr>
          <w:rFonts w:ascii="宋体" w:hAnsi="宋体"/>
          <w:b/>
          <w:szCs w:val="21"/>
        </w:rPr>
        <w:t>10.</w:t>
      </w:r>
      <w:r>
        <w:rPr>
          <w:rFonts w:hint="eastAsia" w:ascii="宋体" w:hAnsi="宋体"/>
          <w:b/>
          <w:szCs w:val="21"/>
        </w:rPr>
        <w:t>需要补充的其他内容</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spacing w:line="360" w:lineRule="auto"/>
        <w:rPr>
          <w:rFonts w:ascii="宋体" w:hAnsi="宋体"/>
          <w:b/>
          <w:szCs w:val="21"/>
        </w:rPr>
      </w:pPr>
      <w:bookmarkStart w:id="497" w:name="_Toc10210465"/>
      <w:bookmarkStart w:id="498" w:name="_Toc8657512"/>
    </w:p>
    <w:p>
      <w:pPr>
        <w:spacing w:line="360" w:lineRule="auto"/>
        <w:rPr>
          <w:rFonts w:ascii="宋体" w:hAnsi="宋体"/>
          <w:b/>
          <w:szCs w:val="21"/>
        </w:rPr>
      </w:pPr>
    </w:p>
    <w:bookmarkEnd w:id="497"/>
    <w:bookmarkEnd w:id="498"/>
    <w:p>
      <w:pPr>
        <w:pStyle w:val="18"/>
        <w:spacing w:before="0" w:after="0" w:line="360" w:lineRule="auto"/>
        <w:rPr>
          <w:rStyle w:val="19"/>
          <w:b/>
          <w:bCs w:val="0"/>
          <w:sz w:val="28"/>
          <w:szCs w:val="28"/>
        </w:rPr>
      </w:pPr>
      <w:bookmarkStart w:id="499" w:name="_Toc16175985"/>
      <w:bookmarkStart w:id="500" w:name="_Toc32110"/>
      <w:bookmarkStart w:id="501" w:name="_Toc447265273"/>
      <w:bookmarkStart w:id="502" w:name="_Toc447265559"/>
      <w:r>
        <w:rPr>
          <w:rStyle w:val="19"/>
          <w:b/>
          <w:bCs w:val="0"/>
          <w:sz w:val="21"/>
          <w:szCs w:val="21"/>
        </w:rPr>
        <w:br w:type="page"/>
      </w:r>
      <w:r>
        <w:rPr>
          <w:rStyle w:val="19"/>
          <w:rFonts w:hint="eastAsia"/>
          <w:b/>
          <w:bCs w:val="0"/>
          <w:sz w:val="28"/>
          <w:szCs w:val="28"/>
        </w:rPr>
        <w:t>第三章  评标办法（</w:t>
      </w:r>
      <w:r>
        <w:rPr>
          <w:rStyle w:val="19"/>
          <w:rFonts w:hint="eastAsia" w:ascii="宋体" w:hAnsi="宋体" w:eastAsia="宋体" w:cs="宋体"/>
          <w:b/>
          <w:bCs w:val="0"/>
          <w:kern w:val="2"/>
          <w:sz w:val="28"/>
          <w:szCs w:val="28"/>
        </w:rPr>
        <w:t>经评审的最低投标价法</w:t>
      </w:r>
      <w:r>
        <w:rPr>
          <w:rStyle w:val="19"/>
          <w:rFonts w:hint="eastAsia"/>
          <w:b/>
          <w:bCs w:val="0"/>
          <w:sz w:val="28"/>
          <w:szCs w:val="28"/>
        </w:rPr>
        <w:t>）</w:t>
      </w:r>
      <w:bookmarkEnd w:id="499"/>
      <w:bookmarkEnd w:id="500"/>
      <w:bookmarkEnd w:id="501"/>
      <w:bookmarkEnd w:id="502"/>
    </w:p>
    <w:p>
      <w:pPr>
        <w:pStyle w:val="4"/>
        <w:topLinePunct/>
        <w:autoSpaceDE/>
        <w:autoSpaceDN/>
        <w:snapToGrid w:val="0"/>
        <w:spacing w:line="360" w:lineRule="auto"/>
        <w:ind w:firstLine="0"/>
        <w:jc w:val="center"/>
        <w:rPr>
          <w:rFonts w:ascii="宋体" w:hAnsi="宋体" w:eastAsia="宋体"/>
          <w:b/>
          <w:bCs/>
          <w:sz w:val="21"/>
          <w:szCs w:val="21"/>
        </w:rPr>
      </w:pPr>
    </w:p>
    <w:p>
      <w:pPr>
        <w:pStyle w:val="4"/>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一、总则</w:t>
      </w:r>
    </w:p>
    <w:p>
      <w:pPr>
        <w:spacing w:line="360" w:lineRule="auto"/>
        <w:ind w:firstLine="422" w:firstLineChars="200"/>
        <w:rPr>
          <w:rFonts w:ascii="宋体"/>
          <w:b/>
          <w:bCs/>
          <w:szCs w:val="21"/>
        </w:rPr>
      </w:pPr>
      <w:r>
        <w:rPr>
          <w:rFonts w:hint="eastAsia" w:ascii="宋体" w:hAnsi="宋体"/>
          <w:b/>
          <w:bCs/>
          <w:szCs w:val="21"/>
        </w:rPr>
        <w:t>第一条</w:t>
      </w:r>
      <w:r>
        <w:rPr>
          <w:rFonts w:hint="eastAsia" w:ascii="宋体" w:hAnsi="宋体"/>
          <w:bCs/>
          <w:szCs w:val="21"/>
        </w:rPr>
        <w:t>本项目采用</w:t>
      </w:r>
      <w:r>
        <w:rPr>
          <w:rFonts w:hint="eastAsia" w:ascii="宋体" w:hAnsi="宋体" w:cs="宋体"/>
          <w:szCs w:val="21"/>
        </w:rPr>
        <w:t>经评审的最低投标价法</w:t>
      </w:r>
      <w:r>
        <w:rPr>
          <w:rFonts w:hint="eastAsia" w:ascii="宋体" w:hAnsi="宋体"/>
          <w:bCs/>
          <w:szCs w:val="21"/>
        </w:rPr>
        <w:t>。</w:t>
      </w:r>
    </w:p>
    <w:p>
      <w:pPr>
        <w:spacing w:line="360" w:lineRule="auto"/>
        <w:ind w:firstLine="422" w:firstLineChars="200"/>
        <w:rPr>
          <w:rFonts w:ascii="宋体" w:hAnsi="宋体"/>
          <w:szCs w:val="21"/>
        </w:rPr>
      </w:pPr>
      <w:r>
        <w:rPr>
          <w:rFonts w:hint="eastAsia" w:ascii="宋体" w:hAnsi="宋体"/>
          <w:b/>
          <w:bCs/>
          <w:szCs w:val="21"/>
        </w:rPr>
        <w:t>第二条</w:t>
      </w:r>
      <w:r>
        <w:rPr>
          <w:rFonts w:hint="eastAsia" w:ascii="宋体" w:hAnsi="宋体"/>
          <w:szCs w:val="21"/>
        </w:rPr>
        <w:t>评标委员会依据招标文件中规定的标准、办法对投标文件进行评审，任何其他的外部证据均不得作为评标的依据。评标委员会对满足招标文件实质性要求的投标文件，按评分标准进行打分，并按得分由高到低顺序推荐中标候选人，得分相等时，按投标报价得分高者优先，投标报价得分也相等的，按服务方案得分由高到低顺序推荐中标候选人。</w:t>
      </w:r>
    </w:p>
    <w:p>
      <w:pPr>
        <w:pStyle w:val="4"/>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二、资格审查</w:t>
      </w:r>
    </w:p>
    <w:p>
      <w:pPr>
        <w:pStyle w:val="12"/>
        <w:shd w:val="clear" w:color="auto" w:fill="FFFFFF"/>
        <w:spacing w:before="0" w:beforeAutospacing="0" w:after="0" w:afterAutospacing="0" w:line="380" w:lineRule="exact"/>
        <w:ind w:firstLine="482" w:firstLineChars="200"/>
        <w:rPr>
          <w:rFonts w:cs="Times New Roman"/>
          <w:kern w:val="2"/>
          <w:sz w:val="21"/>
          <w:szCs w:val="21"/>
        </w:rPr>
      </w:pPr>
      <w:r>
        <w:rPr>
          <w:rFonts w:hint="eastAsia"/>
          <w:b/>
          <w:szCs w:val="21"/>
        </w:rPr>
        <w:t>第三条</w:t>
      </w:r>
      <w:r>
        <w:rPr>
          <w:rFonts w:hint="eastAsia" w:cs="Times New Roman"/>
          <w:kern w:val="2"/>
          <w:sz w:val="21"/>
          <w:szCs w:val="21"/>
        </w:rPr>
        <w:t>如投标供应商为中国地质合格供应商，则无需进行资格审查，非中国地质合格供应商，需进行资格后审。</w:t>
      </w:r>
    </w:p>
    <w:p>
      <w:pPr>
        <w:pStyle w:val="4"/>
        <w:topLinePunct/>
        <w:autoSpaceDE/>
        <w:autoSpaceDN/>
        <w:snapToGrid w:val="0"/>
        <w:spacing w:line="360" w:lineRule="auto"/>
        <w:ind w:firstLine="0"/>
        <w:jc w:val="center"/>
        <w:rPr>
          <w:rFonts w:ascii="宋体" w:hAnsi="宋体" w:eastAsia="宋体"/>
          <w:b/>
          <w:bCs/>
          <w:sz w:val="21"/>
          <w:szCs w:val="21"/>
        </w:rPr>
      </w:pPr>
    </w:p>
    <w:p>
      <w:pPr>
        <w:pStyle w:val="4"/>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三、初步评审</w:t>
      </w:r>
    </w:p>
    <w:p>
      <w:pPr>
        <w:spacing w:line="360" w:lineRule="auto"/>
        <w:ind w:firstLine="422" w:firstLineChars="200"/>
        <w:rPr>
          <w:rFonts w:ascii="宋体"/>
          <w:bCs/>
          <w:szCs w:val="21"/>
        </w:rPr>
      </w:pPr>
      <w:r>
        <w:rPr>
          <w:rFonts w:hint="eastAsia" w:ascii="宋体" w:hAnsi="宋体"/>
          <w:b/>
          <w:bCs/>
          <w:szCs w:val="21"/>
        </w:rPr>
        <w:t>第四条</w:t>
      </w:r>
      <w:r>
        <w:rPr>
          <w:rFonts w:hint="eastAsia" w:ascii="宋体" w:hAnsi="宋体"/>
          <w:bCs/>
          <w:szCs w:val="21"/>
        </w:rPr>
        <w:t>对通过资格审查的投标文件进行初步评审。通过初步评审的投标文件，方可进入下一阶段详细评审。</w:t>
      </w:r>
    </w:p>
    <w:p>
      <w:pPr>
        <w:pStyle w:val="4"/>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四、详细评审</w:t>
      </w:r>
    </w:p>
    <w:p>
      <w:pPr>
        <w:spacing w:line="360" w:lineRule="auto"/>
        <w:ind w:firstLine="422" w:firstLineChars="200"/>
        <w:rPr>
          <w:rFonts w:ascii="宋体" w:hAnsi="宋体"/>
          <w:kern w:val="0"/>
          <w:szCs w:val="21"/>
        </w:rPr>
      </w:pPr>
      <w:r>
        <w:rPr>
          <w:rFonts w:hint="eastAsia" w:ascii="宋体" w:hAnsi="宋体"/>
          <w:b/>
          <w:bCs/>
          <w:kern w:val="0"/>
          <w:szCs w:val="21"/>
        </w:rPr>
        <w:t>第五条</w:t>
      </w:r>
      <w:r>
        <w:rPr>
          <w:rFonts w:hint="eastAsia" w:ascii="宋体" w:hAnsi="宋体"/>
          <w:kern w:val="0"/>
          <w:szCs w:val="21"/>
        </w:rPr>
        <w:t xml:space="preserve"> 详细评审内容。</w:t>
      </w:r>
    </w:p>
    <w:p>
      <w:pPr>
        <w:spacing w:line="360" w:lineRule="auto"/>
        <w:ind w:firstLine="420" w:firstLineChars="200"/>
        <w:rPr>
          <w:rFonts w:ascii="宋体"/>
          <w:kern w:val="0"/>
          <w:szCs w:val="21"/>
        </w:rPr>
      </w:pPr>
      <w:r>
        <w:rPr>
          <w:rFonts w:ascii="宋体" w:hAnsi="宋体"/>
          <w:kern w:val="0"/>
          <w:szCs w:val="21"/>
        </w:rPr>
        <w:t>1</w:t>
      </w:r>
      <w:r>
        <w:rPr>
          <w:rFonts w:hint="eastAsia" w:ascii="宋体" w:hAnsi="宋体"/>
          <w:kern w:val="0"/>
          <w:szCs w:val="21"/>
        </w:rPr>
        <w:t>、分值构成（总分</w:t>
      </w:r>
      <w:r>
        <w:rPr>
          <w:rFonts w:ascii="宋体" w:hAnsi="宋体"/>
          <w:kern w:val="0"/>
          <w:szCs w:val="21"/>
        </w:rPr>
        <w:t>100</w:t>
      </w:r>
      <w:r>
        <w:rPr>
          <w:rFonts w:hint="eastAsia" w:ascii="宋体" w:hAnsi="宋体"/>
          <w:kern w:val="0"/>
          <w:szCs w:val="21"/>
        </w:rPr>
        <w:t>分）</w:t>
      </w:r>
    </w:p>
    <w:p>
      <w:pPr>
        <w:spacing w:line="360" w:lineRule="auto"/>
        <w:ind w:firstLine="420" w:firstLineChars="200"/>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）投标报价部分：满分60分；</w:t>
      </w:r>
    </w:p>
    <w:p>
      <w:pPr>
        <w:spacing w:line="360" w:lineRule="auto"/>
        <w:ind w:firstLine="420" w:firstLineChars="200"/>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）详细评审部分：满分40分；</w:t>
      </w:r>
    </w:p>
    <w:p>
      <w:pPr>
        <w:spacing w:line="360" w:lineRule="auto"/>
        <w:ind w:firstLine="420" w:firstLineChars="200"/>
        <w:rPr>
          <w:rFonts w:ascii="宋体"/>
          <w:kern w:val="0"/>
          <w:szCs w:val="21"/>
        </w:rPr>
      </w:pPr>
      <w:r>
        <w:rPr>
          <w:rFonts w:ascii="宋体" w:hAnsi="宋体"/>
          <w:kern w:val="0"/>
          <w:szCs w:val="21"/>
        </w:rPr>
        <w:t>2</w:t>
      </w:r>
      <w:r>
        <w:rPr>
          <w:rFonts w:hint="eastAsia" w:ascii="宋体" w:hAnsi="宋体"/>
          <w:kern w:val="0"/>
          <w:szCs w:val="21"/>
        </w:rPr>
        <w:t>、评分标准：</w:t>
      </w:r>
    </w:p>
    <w:p>
      <w:pPr>
        <w:spacing w:line="360" w:lineRule="auto"/>
        <w:ind w:firstLine="420" w:firstLineChars="200"/>
        <w:rPr>
          <w:rFonts w:ascii="宋体"/>
          <w:bCs/>
          <w:szCs w:val="21"/>
        </w:rPr>
      </w:pPr>
      <w:r>
        <w:rPr>
          <w:rFonts w:hint="eastAsia" w:ascii="宋体" w:hAnsi="宋体"/>
          <w:bCs/>
          <w:szCs w:val="21"/>
        </w:rPr>
        <w:t>评标委员会对通过初步评审的投标人进行详细评审，首先按照招标文件规定的评分要求对投标人进行打分。</w:t>
      </w:r>
    </w:p>
    <w:p>
      <w:pPr>
        <w:spacing w:line="360" w:lineRule="auto"/>
        <w:ind w:firstLine="420" w:firstLineChars="200"/>
        <w:rPr>
          <w:rFonts w:ascii="宋体" w:hAnsi="宋体"/>
          <w:kern w:val="0"/>
          <w:szCs w:val="21"/>
        </w:rPr>
      </w:pPr>
      <w:r>
        <w:rPr>
          <w:rFonts w:hint="eastAsia" w:ascii="宋体"/>
          <w:bCs/>
          <w:szCs w:val="21"/>
        </w:rPr>
        <w:t>（1）</w:t>
      </w:r>
      <w:r>
        <w:rPr>
          <w:rFonts w:hint="eastAsia" w:ascii="宋体" w:hAnsi="宋体"/>
          <w:kern w:val="0"/>
          <w:szCs w:val="21"/>
        </w:rPr>
        <w:t>评分标准：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5"/>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14" w:type="dxa"/>
            <w:gridSpan w:val="2"/>
            <w:noWrap/>
            <w:vAlign w:val="center"/>
          </w:tcPr>
          <w:p>
            <w:pPr>
              <w:spacing w:line="360" w:lineRule="exact"/>
              <w:jc w:val="center"/>
              <w:rPr>
                <w:rFonts w:ascii="宋体" w:hAnsi="宋体"/>
                <w:b/>
                <w:kern w:val="0"/>
                <w:szCs w:val="21"/>
              </w:rPr>
            </w:pPr>
            <w:r>
              <w:rPr>
                <w:rFonts w:hint="eastAsia" w:ascii="宋体" w:hAnsi="宋体"/>
                <w:b/>
                <w:szCs w:val="21"/>
              </w:rPr>
              <w:t>评分项目</w:t>
            </w:r>
          </w:p>
        </w:tc>
        <w:tc>
          <w:tcPr>
            <w:tcW w:w="6808" w:type="dxa"/>
            <w:noWrap/>
            <w:vAlign w:val="center"/>
          </w:tcPr>
          <w:p>
            <w:pPr>
              <w:spacing w:line="360" w:lineRule="exact"/>
              <w:ind w:firstLine="316" w:firstLineChars="150"/>
              <w:jc w:val="center"/>
              <w:rPr>
                <w:rFonts w:ascii="宋体" w:hAnsi="宋体"/>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714" w:type="dxa"/>
            <w:gridSpan w:val="2"/>
            <w:noWrap/>
            <w:vAlign w:val="center"/>
          </w:tcPr>
          <w:p>
            <w:pPr>
              <w:spacing w:line="360" w:lineRule="exact"/>
              <w:jc w:val="center"/>
              <w:rPr>
                <w:rFonts w:ascii="宋体"/>
                <w:b/>
                <w:kern w:val="0"/>
                <w:szCs w:val="21"/>
              </w:rPr>
            </w:pPr>
            <w:r>
              <w:rPr>
                <w:rFonts w:hint="eastAsia" w:ascii="宋体" w:hAnsi="宋体"/>
                <w:b/>
                <w:kern w:val="0"/>
                <w:szCs w:val="21"/>
              </w:rPr>
              <w:t>投标报价</w:t>
            </w:r>
          </w:p>
          <w:p>
            <w:pPr>
              <w:spacing w:line="360" w:lineRule="exact"/>
              <w:jc w:val="center"/>
              <w:rPr>
                <w:rFonts w:ascii="宋体"/>
                <w:kern w:val="0"/>
                <w:szCs w:val="21"/>
              </w:rPr>
            </w:pPr>
            <w:r>
              <w:rPr>
                <w:rFonts w:hint="eastAsia" w:ascii="宋体" w:hAnsi="宋体"/>
                <w:b/>
                <w:kern w:val="0"/>
                <w:szCs w:val="21"/>
              </w:rPr>
              <w:t>（满分</w:t>
            </w:r>
            <w:r>
              <w:rPr>
                <w:rFonts w:hint="eastAsia" w:ascii="宋体" w:hAnsi="宋体"/>
                <w:b/>
                <w:kern w:val="0"/>
                <w:szCs w:val="21"/>
                <w:lang w:val="en-US" w:eastAsia="zh-CN"/>
              </w:rPr>
              <w:t>6</w:t>
            </w:r>
            <w:r>
              <w:rPr>
                <w:rFonts w:ascii="宋体" w:hAnsi="宋体"/>
                <w:b/>
                <w:kern w:val="0"/>
                <w:szCs w:val="21"/>
              </w:rPr>
              <w:t>0</w:t>
            </w:r>
            <w:r>
              <w:rPr>
                <w:rFonts w:hint="eastAsia" w:ascii="宋体" w:hAnsi="宋体"/>
                <w:b/>
                <w:kern w:val="0"/>
                <w:szCs w:val="21"/>
              </w:rPr>
              <w:t>分）</w:t>
            </w:r>
          </w:p>
        </w:tc>
        <w:tc>
          <w:tcPr>
            <w:tcW w:w="6808" w:type="dxa"/>
            <w:noWrap/>
          </w:tcPr>
          <w:p>
            <w:pPr>
              <w:numPr>
                <w:ilvl w:val="0"/>
                <w:numId w:val="2"/>
              </w:numPr>
              <w:spacing w:line="360" w:lineRule="exact"/>
              <w:jc w:val="left"/>
              <w:rPr>
                <w:rFonts w:ascii="宋体" w:hAnsi="宋体" w:cs="宋体"/>
                <w:szCs w:val="21"/>
              </w:rPr>
            </w:pPr>
            <w:r>
              <w:rPr>
                <w:rFonts w:hint="eastAsia" w:ascii="宋体" w:hAnsi="宋体" w:cs="宋体"/>
                <w:szCs w:val="21"/>
              </w:rPr>
              <w:t>报价</w:t>
            </w:r>
            <w:r>
              <w:rPr>
                <w:rFonts w:hint="eastAsia" w:ascii="宋体" w:hAnsi="宋体" w:cs="宋体"/>
                <w:szCs w:val="21"/>
                <w:lang w:val="en-US" w:eastAsia="zh-CN"/>
              </w:rPr>
              <w:t>单中经核算总价</w:t>
            </w:r>
            <w:r>
              <w:rPr>
                <w:rFonts w:hint="eastAsia" w:ascii="宋体" w:hAnsi="宋体" w:cs="宋体"/>
                <w:szCs w:val="21"/>
              </w:rPr>
              <w:t>最低（即下浮价格最多）得</w:t>
            </w:r>
            <w:r>
              <w:rPr>
                <w:rFonts w:hint="eastAsia" w:ascii="宋体" w:hAnsi="宋体" w:cs="宋体"/>
                <w:szCs w:val="21"/>
                <w:lang w:val="en-US" w:eastAsia="zh-CN"/>
              </w:rPr>
              <w:t>6</w:t>
            </w:r>
            <w:r>
              <w:rPr>
                <w:rFonts w:hint="eastAsia" w:ascii="宋体" w:hAnsi="宋体" w:cs="宋体"/>
                <w:szCs w:val="21"/>
              </w:rPr>
              <w:t>0分，报价次之得</w:t>
            </w:r>
            <w:r>
              <w:rPr>
                <w:rFonts w:hint="eastAsia" w:ascii="宋体" w:hAnsi="宋体" w:cs="宋体"/>
                <w:szCs w:val="21"/>
                <w:lang w:val="en-US" w:eastAsia="zh-CN"/>
              </w:rPr>
              <w:t>5</w:t>
            </w:r>
            <w:r>
              <w:rPr>
                <w:rFonts w:hint="eastAsia" w:ascii="宋体" w:hAnsi="宋体" w:cs="宋体"/>
                <w:szCs w:val="21"/>
              </w:rPr>
              <w:t>5分，报价第三得</w:t>
            </w:r>
            <w:r>
              <w:rPr>
                <w:rFonts w:hint="eastAsia" w:ascii="宋体" w:hAnsi="宋体" w:cs="宋体"/>
                <w:szCs w:val="21"/>
                <w:lang w:val="en-US" w:eastAsia="zh-CN"/>
              </w:rPr>
              <w:t>5</w:t>
            </w:r>
            <w:r>
              <w:rPr>
                <w:rFonts w:hint="eastAsia" w:ascii="宋体" w:hAnsi="宋体" w:cs="宋体"/>
                <w:szCs w:val="21"/>
              </w:rPr>
              <w:t>0分，累计取得分前五名，其余投标人取消中标候选人资格，如出现报价相同情况下得分相同。</w:t>
            </w:r>
          </w:p>
          <w:p>
            <w:pPr>
              <w:numPr>
                <w:ilvl w:val="0"/>
                <w:numId w:val="2"/>
              </w:numPr>
              <w:spacing w:line="360" w:lineRule="exact"/>
              <w:jc w:val="left"/>
              <w:rPr>
                <w:rFonts w:ascii="宋体"/>
                <w:kern w:val="0"/>
                <w:szCs w:val="21"/>
              </w:rPr>
            </w:pPr>
            <w:r>
              <w:rPr>
                <w:rFonts w:hint="eastAsia" w:ascii="宋体" w:hAnsi="宋体"/>
                <w:szCs w:val="21"/>
              </w:rPr>
              <w:t>评标将以价格因素确定中标候选供应商，即在全部满足招标文件实质性要求前提下，依据统一的价格要素评定最低报价，以提出最低报价的投标人为中标候选供应商或者供应商。</w:t>
            </w:r>
          </w:p>
          <w:p>
            <w:pPr>
              <w:numPr>
                <w:ilvl w:val="0"/>
                <w:numId w:val="2"/>
              </w:numPr>
              <w:spacing w:line="360" w:lineRule="exact"/>
              <w:jc w:val="left"/>
              <w:rPr>
                <w:rFonts w:ascii="宋体"/>
                <w:kern w:val="0"/>
                <w:szCs w:val="21"/>
              </w:rPr>
            </w:pPr>
            <w:r>
              <w:rPr>
                <w:rFonts w:hint="eastAsia" w:ascii="宋体" w:hAnsi="宋体"/>
                <w:szCs w:val="21"/>
              </w:rPr>
              <w:t>评标委员会按各投标人的投标报价由低到高顺序排列，投标报价相同的，按技术指标优劣顺序排列。</w:t>
            </w:r>
          </w:p>
          <w:p>
            <w:pPr>
              <w:numPr>
                <w:ilvl w:val="0"/>
                <w:numId w:val="2"/>
              </w:numPr>
              <w:spacing w:line="360" w:lineRule="exact"/>
              <w:jc w:val="left"/>
              <w:rPr>
                <w:rFonts w:ascii="宋体"/>
                <w:kern w:val="0"/>
                <w:szCs w:val="21"/>
              </w:rPr>
            </w:pPr>
            <w:r>
              <w:rPr>
                <w:rFonts w:hint="eastAsia" w:ascii="宋体" w:hAnsi="宋体"/>
                <w:szCs w:val="21"/>
              </w:rPr>
              <w:t>评标委员会认为，排在前面的中标候选供应商的最低报价或者某些分项报价明显不合理或者低于成本，可能影响商品质量和不能诚信屡约的，应当要求其在规定的时限内提供书面文件予以解释说明，或提交相关证明材料；否则，评标委员会可以取消该投标人的中标候选资格，按顺序由排在后面的中标候选供应商递补，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vMerge w:val="restart"/>
            <w:noWrap/>
            <w:vAlign w:val="center"/>
          </w:tcPr>
          <w:p>
            <w:pPr>
              <w:spacing w:line="360" w:lineRule="exact"/>
              <w:jc w:val="center"/>
              <w:rPr>
                <w:rFonts w:ascii="宋体"/>
                <w:b/>
                <w:szCs w:val="21"/>
              </w:rPr>
            </w:pPr>
            <w:r>
              <w:rPr>
                <w:rFonts w:hint="eastAsia" w:ascii="宋体" w:hAnsi="宋体"/>
                <w:b/>
                <w:szCs w:val="21"/>
              </w:rPr>
              <w:t>详细</w:t>
            </w:r>
          </w:p>
          <w:p>
            <w:pPr>
              <w:spacing w:line="360" w:lineRule="exact"/>
              <w:jc w:val="center"/>
              <w:rPr>
                <w:rFonts w:ascii="宋体"/>
                <w:b/>
                <w:szCs w:val="21"/>
              </w:rPr>
            </w:pPr>
            <w:r>
              <w:rPr>
                <w:rFonts w:hint="eastAsia" w:ascii="宋体" w:hAnsi="宋体"/>
                <w:b/>
                <w:szCs w:val="21"/>
              </w:rPr>
              <w:t>评审</w:t>
            </w:r>
          </w:p>
          <w:p>
            <w:pPr>
              <w:spacing w:line="360" w:lineRule="exact"/>
              <w:jc w:val="center"/>
              <w:rPr>
                <w:rFonts w:ascii="宋体"/>
                <w:b/>
                <w:kern w:val="0"/>
                <w:szCs w:val="21"/>
              </w:rPr>
            </w:pPr>
            <w:r>
              <w:rPr>
                <w:rFonts w:hint="eastAsia" w:ascii="宋体" w:hAnsi="宋体"/>
                <w:b/>
                <w:kern w:val="0"/>
                <w:szCs w:val="21"/>
              </w:rPr>
              <w:t>（满分</w:t>
            </w:r>
          </w:p>
          <w:p>
            <w:pPr>
              <w:spacing w:line="360" w:lineRule="exact"/>
              <w:jc w:val="center"/>
              <w:rPr>
                <w:rFonts w:ascii="宋体"/>
                <w:szCs w:val="21"/>
              </w:rPr>
            </w:pPr>
            <w:r>
              <w:rPr>
                <w:rFonts w:hint="eastAsia" w:ascii="宋体" w:hAnsi="宋体"/>
                <w:b/>
                <w:kern w:val="0"/>
                <w:szCs w:val="21"/>
              </w:rPr>
              <w:t>4</w:t>
            </w:r>
            <w:r>
              <w:rPr>
                <w:rFonts w:ascii="宋体"/>
                <w:b/>
                <w:kern w:val="0"/>
                <w:szCs w:val="21"/>
              </w:rPr>
              <w:t>0</w:t>
            </w:r>
            <w:r>
              <w:rPr>
                <w:rFonts w:hint="eastAsia" w:ascii="宋体" w:hAnsi="宋体"/>
                <w:b/>
                <w:kern w:val="0"/>
                <w:szCs w:val="21"/>
              </w:rPr>
              <w:t>分）</w:t>
            </w:r>
          </w:p>
        </w:tc>
        <w:tc>
          <w:tcPr>
            <w:tcW w:w="755" w:type="dxa"/>
            <w:noWrap/>
            <w:vAlign w:val="center"/>
          </w:tcPr>
          <w:p>
            <w:pPr>
              <w:spacing w:line="360" w:lineRule="exact"/>
              <w:jc w:val="center"/>
              <w:rPr>
                <w:rFonts w:ascii="宋体"/>
                <w:b/>
                <w:szCs w:val="21"/>
              </w:rPr>
            </w:pPr>
            <w:r>
              <w:rPr>
                <w:rFonts w:hint="eastAsia" w:ascii="宋体" w:hAnsi="宋体"/>
                <w:b/>
                <w:szCs w:val="21"/>
              </w:rPr>
              <w:t>投标人业绩（满分15分）</w:t>
            </w:r>
          </w:p>
        </w:tc>
        <w:tc>
          <w:tcPr>
            <w:tcW w:w="6808" w:type="dxa"/>
            <w:noWrap/>
            <w:vAlign w:val="center"/>
          </w:tcPr>
          <w:p>
            <w:pPr>
              <w:spacing w:line="360" w:lineRule="exact"/>
              <w:jc w:val="center"/>
              <w:rPr>
                <w:rFonts w:ascii="宋体" w:hAnsi="宋体"/>
                <w:szCs w:val="21"/>
              </w:rPr>
            </w:pPr>
            <w:r>
              <w:rPr>
                <w:rFonts w:hint="eastAsia" w:ascii="宋体" w:hAnsi="宋体" w:cs="宋体"/>
              </w:rPr>
              <w:t>提供</w:t>
            </w:r>
            <w:r>
              <w:rPr>
                <w:rFonts w:ascii="宋体" w:hAnsi="宋体" w:cs="宋体"/>
              </w:rPr>
              <w:t>1个类似业绩</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分，每增加</w:t>
            </w:r>
            <w:r>
              <w:rPr>
                <w:rFonts w:ascii="宋体" w:hAnsi="宋体" w:cs="宋体"/>
                <w:szCs w:val="21"/>
              </w:rPr>
              <w:t>1个</w:t>
            </w:r>
            <w:r>
              <w:rPr>
                <w:rFonts w:hint="eastAsia" w:ascii="宋体" w:hAnsi="宋体" w:cs="宋体"/>
              </w:rPr>
              <w:t>类似</w:t>
            </w:r>
            <w:r>
              <w:rPr>
                <w:rFonts w:hint="eastAsia" w:ascii="宋体" w:hAnsi="宋体" w:cs="宋体"/>
                <w:szCs w:val="21"/>
              </w:rPr>
              <w:t>业绩加</w:t>
            </w:r>
            <w:r>
              <w:rPr>
                <w:rFonts w:hint="eastAsia" w:ascii="宋体" w:hAnsi="宋体" w:cs="宋体"/>
                <w:szCs w:val="21"/>
                <w:lang w:val="en-US" w:eastAsia="zh-CN"/>
              </w:rPr>
              <w:t>5</w:t>
            </w:r>
            <w:r>
              <w:rPr>
                <w:rFonts w:ascii="宋体" w:hAnsi="宋体" w:cs="宋体"/>
                <w:szCs w:val="21"/>
              </w:rPr>
              <w:t>分，最多得</w:t>
            </w:r>
            <w:r>
              <w:rPr>
                <w:rFonts w:hint="eastAsia" w:ascii="宋体" w:hAnsi="宋体" w:cs="宋体"/>
                <w:szCs w:val="21"/>
                <w:lang w:val="en-US" w:eastAsia="zh-CN"/>
              </w:rPr>
              <w:t>15</w:t>
            </w:r>
            <w:r>
              <w:rPr>
                <w:rFonts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vMerge w:val="continue"/>
            <w:noWrap/>
            <w:vAlign w:val="center"/>
          </w:tcPr>
          <w:p>
            <w:pPr>
              <w:spacing w:line="360" w:lineRule="exact"/>
              <w:jc w:val="center"/>
              <w:rPr>
                <w:rFonts w:ascii="宋体" w:hAnsi="宋体"/>
                <w:b/>
                <w:kern w:val="0"/>
                <w:szCs w:val="21"/>
              </w:rPr>
            </w:pPr>
          </w:p>
        </w:tc>
        <w:tc>
          <w:tcPr>
            <w:tcW w:w="755" w:type="dxa"/>
            <w:noWrap/>
            <w:vAlign w:val="center"/>
          </w:tcPr>
          <w:p>
            <w:pPr>
              <w:spacing w:line="360" w:lineRule="exact"/>
              <w:jc w:val="center"/>
              <w:rPr>
                <w:rFonts w:ascii="宋体" w:hAnsi="宋体"/>
                <w:b/>
                <w:szCs w:val="21"/>
              </w:rPr>
            </w:pPr>
            <w:r>
              <w:rPr>
                <w:rFonts w:hint="eastAsia" w:ascii="宋体" w:hAnsi="宋体"/>
                <w:b/>
                <w:szCs w:val="21"/>
              </w:rPr>
              <w:t>服务方案（满分25分）</w:t>
            </w:r>
          </w:p>
        </w:tc>
        <w:tc>
          <w:tcPr>
            <w:tcW w:w="6808" w:type="dxa"/>
            <w:noWrap/>
            <w:vAlign w:val="center"/>
          </w:tcPr>
          <w:p>
            <w:pPr>
              <w:spacing w:line="360" w:lineRule="exact"/>
              <w:jc w:val="left"/>
              <w:rPr>
                <w:rFonts w:ascii="宋体" w:hAnsi="宋体" w:cs="宋体"/>
                <w:b/>
                <w:bCs/>
              </w:rPr>
            </w:pPr>
            <w:r>
              <w:rPr>
                <w:rFonts w:hint="eastAsia" w:ascii="宋体" w:hAnsi="宋体" w:cs="宋体"/>
              </w:rPr>
              <w:t>数量保障、质量保障、运输方式、贮存条件及供货时效等内容。符合项目施工便利性的服务方案，优异得20-25分，良好得15-20分，一般得5-15分，无方案得0分。</w:t>
            </w:r>
          </w:p>
        </w:tc>
      </w:tr>
    </w:tbl>
    <w:p>
      <w:pPr>
        <w:spacing w:line="360" w:lineRule="auto"/>
        <w:ind w:firstLine="420" w:firstLineChars="200"/>
        <w:rPr>
          <w:rFonts w:ascii="宋体" w:hAnsi="宋体"/>
          <w:kern w:val="0"/>
          <w:szCs w:val="21"/>
        </w:rPr>
      </w:pPr>
    </w:p>
    <w:p>
      <w:pPr>
        <w:spacing w:line="360" w:lineRule="auto"/>
        <w:ind w:firstLine="420" w:firstLineChars="200"/>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）投标总得分：</w:t>
      </w:r>
    </w:p>
    <w:p>
      <w:pPr>
        <w:spacing w:line="360" w:lineRule="auto"/>
        <w:ind w:firstLine="420" w:firstLineChars="200"/>
        <w:rPr>
          <w:rFonts w:ascii="宋体"/>
          <w:kern w:val="0"/>
          <w:szCs w:val="21"/>
        </w:rPr>
      </w:pPr>
      <w:r>
        <w:rPr>
          <w:rFonts w:hint="eastAsia" w:ascii="宋体" w:hAnsi="宋体"/>
          <w:kern w:val="0"/>
          <w:szCs w:val="21"/>
        </w:rPr>
        <w:t>投标总得分</w:t>
      </w:r>
      <w:r>
        <w:rPr>
          <w:rFonts w:ascii="宋体" w:hAnsi="宋体"/>
          <w:kern w:val="0"/>
          <w:szCs w:val="21"/>
        </w:rPr>
        <w:t>=</w:t>
      </w:r>
      <w:r>
        <w:rPr>
          <w:rFonts w:hint="eastAsia" w:ascii="宋体" w:hAnsi="宋体"/>
          <w:kern w:val="0"/>
          <w:szCs w:val="21"/>
        </w:rPr>
        <w:t>投标报价得分</w:t>
      </w:r>
      <w:r>
        <w:rPr>
          <w:rFonts w:ascii="宋体" w:hAnsi="宋体"/>
          <w:kern w:val="0"/>
          <w:szCs w:val="21"/>
        </w:rPr>
        <w:t>+</w:t>
      </w:r>
      <w:r>
        <w:rPr>
          <w:rFonts w:hint="eastAsia" w:ascii="宋体" w:hAnsi="宋体"/>
          <w:kern w:val="0"/>
          <w:szCs w:val="21"/>
        </w:rPr>
        <w:t>详细评审得分，小数点后保留两位，</w:t>
      </w:r>
      <w:r>
        <w:rPr>
          <w:rFonts w:hint="eastAsia" w:hAnsi="宋体"/>
        </w:rPr>
        <w:t>小数点后第三位“四舍五入”。</w:t>
      </w:r>
    </w:p>
    <w:p>
      <w:pPr>
        <w:pStyle w:val="4"/>
        <w:topLinePunct/>
        <w:autoSpaceDE/>
        <w:autoSpaceDN/>
        <w:snapToGrid w:val="0"/>
        <w:spacing w:line="360" w:lineRule="auto"/>
        <w:ind w:firstLine="0"/>
        <w:jc w:val="center"/>
        <w:rPr>
          <w:rFonts w:ascii="宋体" w:hAnsi="宋体" w:eastAsia="宋体"/>
          <w:b/>
          <w:bCs/>
          <w:szCs w:val="21"/>
        </w:rPr>
      </w:pPr>
      <w:r>
        <w:rPr>
          <w:rFonts w:hint="eastAsia" w:ascii="宋体" w:hAnsi="宋体" w:eastAsia="宋体"/>
          <w:b/>
          <w:bCs/>
          <w:sz w:val="21"/>
          <w:szCs w:val="21"/>
        </w:rPr>
        <w:t>五、其他评审事项</w:t>
      </w:r>
    </w:p>
    <w:p>
      <w:pPr>
        <w:spacing w:line="360" w:lineRule="auto"/>
        <w:ind w:firstLine="422" w:firstLineChars="200"/>
        <w:rPr>
          <w:rFonts w:ascii="宋体"/>
          <w:b/>
          <w:bCs/>
          <w:szCs w:val="21"/>
        </w:rPr>
      </w:pPr>
      <w:r>
        <w:rPr>
          <w:rFonts w:hint="eastAsia" w:ascii="宋体" w:hAnsi="宋体"/>
          <w:b/>
          <w:bCs/>
          <w:szCs w:val="21"/>
        </w:rPr>
        <w:t>一、投标文件的澄清</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在评标阶段，评标委员会认为需要时，可书面通知投标人澄清其投标文件中的问题，澄清的内容包括对算术性修正的确认、对非实质性的遗漏、不完整的技术信息和数据的纠正等或者要求补充某些资料，包括报价的分析资料等，对此，投标人不得拒绝。投标人的澄清和纠正内容将作为其投标文件的组成部分。</w:t>
      </w:r>
    </w:p>
    <w:p>
      <w:pPr>
        <w:spacing w:line="360" w:lineRule="auto"/>
        <w:ind w:firstLine="420" w:firstLineChars="200"/>
        <w:rPr>
          <w:rFonts w:ascii="宋体"/>
          <w:bCs/>
          <w:szCs w:val="21"/>
        </w:rPr>
      </w:pPr>
      <w:r>
        <w:rPr>
          <w:rFonts w:ascii="宋体" w:hAnsi="宋体"/>
          <w:bCs/>
          <w:szCs w:val="21"/>
        </w:rPr>
        <w:t>2</w:t>
      </w:r>
      <w:r>
        <w:rPr>
          <w:rFonts w:hint="eastAsia" w:ascii="宋体" w:hAnsi="宋体"/>
          <w:bCs/>
          <w:szCs w:val="21"/>
        </w:rPr>
        <w:t>、有关澄清的要求和答复，投标人不得借澄清问题的机会，与招标人或评标人员私下接触或对原投标报价和内容提出修改，澄清不得改变投标文件的实质性内容，也不得对其他投标人造成不公平的结果。但在评标中对发现的算术性差错进行的核实、修正，则不在此列，评标委员会不接受投标人主动提出的澄清。</w:t>
      </w:r>
    </w:p>
    <w:p>
      <w:pPr>
        <w:spacing w:line="360" w:lineRule="auto"/>
        <w:ind w:firstLine="420" w:firstLineChars="200"/>
        <w:rPr>
          <w:rFonts w:ascii="宋体"/>
          <w:bCs/>
          <w:szCs w:val="21"/>
        </w:rPr>
      </w:pPr>
      <w:r>
        <w:rPr>
          <w:rFonts w:ascii="宋体" w:hAnsi="宋体"/>
          <w:bCs/>
          <w:szCs w:val="21"/>
        </w:rPr>
        <w:t>3</w:t>
      </w:r>
      <w:r>
        <w:rPr>
          <w:rFonts w:hint="eastAsia" w:ascii="宋体" w:hAnsi="宋体"/>
          <w:bCs/>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标处理。</w:t>
      </w:r>
    </w:p>
    <w:p>
      <w:pPr>
        <w:spacing w:line="360" w:lineRule="auto"/>
        <w:ind w:firstLine="420" w:firstLineChars="200"/>
        <w:rPr>
          <w:rFonts w:ascii="宋体"/>
          <w:bCs/>
          <w:szCs w:val="21"/>
        </w:rPr>
      </w:pPr>
      <w:r>
        <w:rPr>
          <w:rFonts w:ascii="宋体" w:hAnsi="宋体"/>
          <w:bCs/>
          <w:szCs w:val="21"/>
        </w:rPr>
        <w:t>4</w:t>
      </w:r>
      <w:r>
        <w:rPr>
          <w:rFonts w:hint="eastAsia" w:ascii="宋体" w:hAnsi="宋体"/>
          <w:bCs/>
          <w:szCs w:val="21"/>
        </w:rPr>
        <w:t>、投标报价有算术错误的，评标委员会按照以下原则对投标报价进行修正，修正的价格经投标人书面确认后具有约束力。投标人不接受修正价格的，评标委员会应当否决其投标。</w:t>
      </w:r>
    </w:p>
    <w:p>
      <w:pPr>
        <w:spacing w:line="360" w:lineRule="auto"/>
        <w:ind w:firstLine="210" w:firstLineChars="1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）投标文件中的大写金额与小写金额不一致的，以大写金额为准；</w:t>
      </w:r>
    </w:p>
    <w:p>
      <w:pPr>
        <w:spacing w:line="360" w:lineRule="auto"/>
        <w:ind w:firstLine="210" w:firstLineChars="1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）总价金额与根据单价计算出的结果不一致的，以单价金额为准修正总价，但单价金额小数点有明显错误的除外。</w:t>
      </w:r>
    </w:p>
    <w:p>
      <w:pPr>
        <w:spacing w:line="360" w:lineRule="auto"/>
        <w:ind w:firstLine="422" w:firstLineChars="200"/>
        <w:rPr>
          <w:rFonts w:ascii="宋体"/>
          <w:b/>
          <w:bCs/>
          <w:szCs w:val="21"/>
        </w:rPr>
      </w:pPr>
      <w:r>
        <w:rPr>
          <w:rFonts w:hint="eastAsia" w:ascii="宋体" w:hAnsi="宋体"/>
          <w:b/>
          <w:bCs/>
          <w:szCs w:val="21"/>
        </w:rPr>
        <w:t>二、评标规则</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、评标委员会成员只能按本评标细则确定的评分项目、内容、要求进行打分，不能另行列项，否则视为废票。投标人的投标得分为各评委分数的算术平均值。</w:t>
      </w:r>
    </w:p>
    <w:p>
      <w:pPr>
        <w:spacing w:line="360" w:lineRule="auto"/>
        <w:ind w:firstLine="420" w:firstLineChars="200"/>
        <w:rPr>
          <w:rFonts w:ascii="宋体"/>
          <w:bCs/>
          <w:szCs w:val="21"/>
        </w:rPr>
      </w:pPr>
      <w:r>
        <w:rPr>
          <w:rFonts w:ascii="宋体" w:hAnsi="宋体"/>
          <w:bCs/>
          <w:szCs w:val="21"/>
        </w:rPr>
        <w:t>2</w:t>
      </w:r>
      <w:r>
        <w:rPr>
          <w:rFonts w:hint="eastAsia" w:ascii="宋体" w:hAnsi="宋体"/>
          <w:bCs/>
          <w:szCs w:val="21"/>
        </w:rPr>
        <w:t>、评分、计分工作均在监督人员的监督下进行，计分结果经监督人员签字后才有效。</w:t>
      </w:r>
    </w:p>
    <w:p>
      <w:pPr>
        <w:spacing w:line="360" w:lineRule="auto"/>
        <w:ind w:firstLine="420" w:firstLineChars="200"/>
        <w:rPr>
          <w:rFonts w:ascii="宋体"/>
          <w:bCs/>
          <w:szCs w:val="21"/>
        </w:rPr>
      </w:pPr>
      <w:r>
        <w:rPr>
          <w:rFonts w:ascii="宋体" w:hAnsi="宋体"/>
          <w:bCs/>
          <w:szCs w:val="21"/>
        </w:rPr>
        <w:t>3</w:t>
      </w:r>
      <w:r>
        <w:rPr>
          <w:rFonts w:hint="eastAsia" w:ascii="宋体" w:hAnsi="宋体"/>
          <w:bCs/>
          <w:szCs w:val="21"/>
        </w:rPr>
        <w:t>、对于定性评价部分评标委员会成员对各投标人的各项投标文件内容评分时必须根据其自身经验及判断客观评判，将各子项的最高分给予其认为最能满足招标文件该项内容要求的投标人，其它按优劣顺序依次给予适当的评分。</w:t>
      </w:r>
    </w:p>
    <w:p>
      <w:pPr>
        <w:spacing w:line="360" w:lineRule="auto"/>
        <w:ind w:firstLine="420" w:firstLineChars="200"/>
        <w:rPr>
          <w:rFonts w:ascii="宋体"/>
          <w:bCs/>
          <w:szCs w:val="21"/>
        </w:rPr>
      </w:pPr>
      <w:r>
        <w:rPr>
          <w:rFonts w:ascii="宋体" w:hAnsi="宋体"/>
          <w:bCs/>
          <w:szCs w:val="21"/>
        </w:rPr>
        <w:t>4</w:t>
      </w:r>
      <w:r>
        <w:rPr>
          <w:rFonts w:hint="eastAsia" w:ascii="宋体" w:hAnsi="宋体"/>
          <w:bCs/>
          <w:szCs w:val="21"/>
        </w:rPr>
        <w:t>、评分为记名方式，评分由评标委员会成员各自独立打分，不得相互商议。</w:t>
      </w:r>
    </w:p>
    <w:p>
      <w:pPr>
        <w:spacing w:line="360" w:lineRule="auto"/>
        <w:ind w:firstLine="420" w:firstLineChars="200"/>
        <w:rPr>
          <w:rFonts w:ascii="宋体"/>
          <w:bCs/>
          <w:szCs w:val="21"/>
        </w:rPr>
      </w:pPr>
      <w:r>
        <w:rPr>
          <w:rFonts w:ascii="宋体" w:hAnsi="宋体"/>
          <w:bCs/>
          <w:szCs w:val="21"/>
        </w:rPr>
        <w:t>5</w:t>
      </w:r>
      <w:r>
        <w:rPr>
          <w:rFonts w:hint="eastAsia" w:ascii="宋体" w:hAnsi="宋体"/>
          <w:bCs/>
          <w:szCs w:val="21"/>
        </w:rPr>
        <w:t>、评标委员会完成评标后，应当向招标人递交书面评标报告。</w:t>
      </w:r>
    </w:p>
    <w:p>
      <w:pPr>
        <w:pStyle w:val="18"/>
        <w:spacing w:before="240" w:after="120"/>
        <w:ind w:firstLine="2502" w:firstLineChars="890"/>
        <w:jc w:val="both"/>
        <w:rPr>
          <w:rStyle w:val="20"/>
          <w:b/>
          <w:bCs/>
          <w:sz w:val="28"/>
          <w:szCs w:val="28"/>
        </w:rPr>
      </w:pPr>
      <w:bookmarkStart w:id="503" w:name="_Toc107822520"/>
      <w:bookmarkStart w:id="504" w:name="_Toc447265276"/>
      <w:bookmarkStart w:id="505" w:name="_Toc447265562"/>
      <w:bookmarkStart w:id="506" w:name="_Toc226969316"/>
      <w:bookmarkStart w:id="507" w:name="_Toc227057922"/>
      <w:r>
        <w:rPr>
          <w:rFonts w:ascii="宋体" w:cs="宋体"/>
          <w:b/>
          <w:bCs w:val="0"/>
          <w:kern w:val="0"/>
          <w:sz w:val="28"/>
          <w:szCs w:val="28"/>
        </w:rPr>
        <w:br w:type="page"/>
      </w:r>
      <w:bookmarkStart w:id="508" w:name="_Toc26684"/>
      <w:bookmarkStart w:id="509" w:name="_Toc16175986"/>
      <w:r>
        <w:rPr>
          <w:rStyle w:val="20"/>
          <w:rFonts w:hint="eastAsia"/>
          <w:b/>
          <w:bCs/>
          <w:sz w:val="28"/>
          <w:szCs w:val="28"/>
        </w:rPr>
        <w:t>第四章  招标人技术/服务需求</w:t>
      </w:r>
    </w:p>
    <w:p>
      <w:pPr>
        <w:spacing w:line="360" w:lineRule="auto"/>
        <w:ind w:firstLine="420" w:firstLineChars="200"/>
        <w:rPr>
          <w:rFonts w:ascii="宋体" w:hAnsi="宋体"/>
          <w:bCs/>
          <w:szCs w:val="21"/>
        </w:rPr>
      </w:pPr>
    </w:p>
    <w:p>
      <w:pPr>
        <w:numPr>
          <w:ilvl w:val="0"/>
          <w:numId w:val="3"/>
        </w:numPr>
        <w:spacing w:line="360" w:lineRule="auto"/>
        <w:rPr>
          <w:rFonts w:ascii="华文中宋" w:hAnsi="华文中宋" w:eastAsia="华文中宋" w:cs="华文中宋"/>
          <w:sz w:val="24"/>
        </w:rPr>
      </w:pPr>
      <w:r>
        <w:rPr>
          <w:rFonts w:hint="eastAsia" w:ascii="华文中宋" w:hAnsi="华文中宋" w:eastAsia="华文中宋" w:cs="华文中宋"/>
          <w:sz w:val="24"/>
        </w:rPr>
        <w:t>一般要求</w:t>
      </w:r>
    </w:p>
    <w:p>
      <w:pPr>
        <w:spacing w:line="360" w:lineRule="auto"/>
        <w:ind w:firstLine="240" w:firstLineChars="100"/>
        <w:rPr>
          <w:rFonts w:ascii="仿宋" w:hAnsi="仿宋" w:eastAsia="仿宋"/>
          <w:sz w:val="24"/>
        </w:rPr>
      </w:pPr>
      <w:r>
        <w:rPr>
          <w:rFonts w:hint="eastAsia" w:ascii="仿宋" w:hAnsi="仿宋" w:eastAsia="仿宋"/>
          <w:sz w:val="24"/>
        </w:rPr>
        <w:t>（1）材料厂家提供的货物应完全符合国家的相关法律法规以及环保等要求，并符合招标单位的技术要求（如果有）。并在使用有效期内、性能良好的原材料制作而成，原材料不得使用回收料。</w:t>
      </w:r>
    </w:p>
    <w:p>
      <w:pPr>
        <w:spacing w:line="360" w:lineRule="auto"/>
        <w:ind w:firstLine="240" w:firstLineChars="100"/>
        <w:rPr>
          <w:rFonts w:ascii="仿宋" w:hAnsi="仿宋" w:eastAsia="仿宋"/>
          <w:sz w:val="24"/>
        </w:rPr>
      </w:pPr>
      <w:r>
        <w:rPr>
          <w:rFonts w:hint="eastAsia" w:ascii="仿宋" w:hAnsi="仿宋" w:eastAsia="仿宋"/>
          <w:sz w:val="24"/>
        </w:rPr>
        <w:t>（2）货物出厂之前经过严格检验，包装良好，避免一般装卸引起的不良破坏。</w:t>
      </w:r>
    </w:p>
    <w:p>
      <w:pPr>
        <w:spacing w:line="360" w:lineRule="auto"/>
        <w:ind w:firstLine="240" w:firstLineChars="100"/>
        <w:rPr>
          <w:rFonts w:ascii="仿宋" w:hAnsi="仿宋" w:eastAsia="仿宋"/>
          <w:sz w:val="24"/>
        </w:rPr>
      </w:pPr>
      <w:r>
        <w:rPr>
          <w:rFonts w:hint="eastAsia" w:ascii="仿宋" w:hAnsi="仿宋" w:eastAsia="仿宋"/>
          <w:sz w:val="24"/>
        </w:rPr>
        <w:t>（3）产品性能原理、技术特点、设计参数、制作材料质量标准、尺寸公差应当符合最新版本的国家标准规范和国家城镇建设行业标准。</w:t>
      </w:r>
    </w:p>
    <w:p>
      <w:pPr>
        <w:spacing w:line="360" w:lineRule="auto"/>
        <w:ind w:firstLine="240" w:firstLineChars="100"/>
        <w:rPr>
          <w:rFonts w:ascii="仿宋" w:hAnsi="仿宋" w:eastAsia="仿宋"/>
          <w:sz w:val="24"/>
        </w:rPr>
      </w:pPr>
      <w:r>
        <w:rPr>
          <w:rFonts w:hint="eastAsia" w:ascii="仿宋" w:hAnsi="仿宋" w:eastAsia="仿宋"/>
          <w:sz w:val="24"/>
        </w:rPr>
        <w:t>（</w:t>
      </w:r>
      <w:r>
        <w:rPr>
          <w:rFonts w:ascii="仿宋" w:hAnsi="仿宋" w:eastAsia="仿宋"/>
          <w:sz w:val="24"/>
        </w:rPr>
        <w:t>4）材料厂家必须提供合格有效的厂家资质文件，并应有永久性明显标识，标明生产厂家名称、规格及执行标准号，应有</w:t>
      </w:r>
      <w:r>
        <w:rPr>
          <w:rFonts w:hint="eastAsia" w:ascii="仿宋" w:hAnsi="仿宋" w:eastAsia="仿宋"/>
          <w:color w:val="FF0000"/>
          <w:sz w:val="24"/>
        </w:rPr>
        <w:t>厂家出厂</w:t>
      </w:r>
      <w:r>
        <w:rPr>
          <w:rFonts w:ascii="仿宋" w:hAnsi="仿宋" w:eastAsia="仿宋"/>
          <w:sz w:val="24"/>
        </w:rPr>
        <w:t>报告和出厂合格证。其包装上应标有生产批号、数量、生产日期和检验代号。</w:t>
      </w:r>
    </w:p>
    <w:p>
      <w:pPr>
        <w:spacing w:line="360" w:lineRule="auto"/>
        <w:ind w:firstLine="240" w:firstLineChars="100"/>
        <w:rPr>
          <w:rFonts w:ascii="仿宋" w:hAnsi="仿宋" w:eastAsia="仿宋" w:cs="Times New Roman"/>
          <w:sz w:val="24"/>
        </w:rPr>
      </w:pPr>
      <w:r>
        <w:rPr>
          <w:rFonts w:hint="eastAsia" w:ascii="仿宋" w:hAnsi="仿宋" w:eastAsia="仿宋"/>
          <w:sz w:val="24"/>
        </w:rPr>
        <w:t>（</w:t>
      </w:r>
      <w:r>
        <w:rPr>
          <w:rFonts w:ascii="仿宋" w:hAnsi="仿宋" w:eastAsia="仿宋"/>
          <w:sz w:val="24"/>
        </w:rPr>
        <w:t>5）应有质量检验部门的产品合格证。</w:t>
      </w:r>
    </w:p>
    <w:p>
      <w:pPr>
        <w:spacing w:line="360" w:lineRule="auto"/>
        <w:ind w:firstLine="240" w:firstLineChars="100"/>
        <w:rPr>
          <w:rFonts w:ascii="仿宋" w:hAnsi="仿宋" w:eastAsia="仿宋"/>
          <w:sz w:val="24"/>
        </w:rPr>
      </w:pPr>
      <w:r>
        <w:rPr>
          <w:rFonts w:hint="eastAsia" w:ascii="仿宋" w:hAnsi="仿宋" w:eastAsia="仿宋" w:cs="Times New Roman"/>
          <w:sz w:val="24"/>
        </w:rPr>
        <w:t>（</w:t>
      </w:r>
      <w:r>
        <w:rPr>
          <w:rFonts w:ascii="仿宋" w:hAnsi="仿宋" w:eastAsia="仿宋" w:cs="Times New Roman"/>
          <w:sz w:val="24"/>
        </w:rPr>
        <w:t>6）材料厂家必须有应对意外延期付款的能力（延期75天），</w:t>
      </w:r>
      <w:r>
        <w:rPr>
          <w:rFonts w:hint="eastAsia" w:ascii="仿宋" w:hAnsi="仿宋" w:eastAsia="仿宋"/>
          <w:sz w:val="24"/>
        </w:rPr>
        <w:t>且不得因为意外延迟付款收取任何相关费用。</w:t>
      </w:r>
    </w:p>
    <w:p>
      <w:pPr>
        <w:spacing w:line="360" w:lineRule="auto"/>
        <w:ind w:firstLine="240" w:firstLineChars="100"/>
        <w:rPr>
          <w:rFonts w:ascii="仿宋" w:hAnsi="仿宋" w:eastAsia="仿宋"/>
          <w:sz w:val="24"/>
        </w:rPr>
      </w:pPr>
      <w:r>
        <w:rPr>
          <w:rFonts w:ascii="仿宋" w:hAnsi="仿宋" w:eastAsia="仿宋" w:cs="Times New Roman"/>
          <w:sz w:val="24"/>
        </w:rPr>
        <w:t>2、产品质量要求</w:t>
      </w:r>
    </w:p>
    <w:p>
      <w:pPr>
        <w:spacing w:line="360" w:lineRule="auto"/>
        <w:ind w:firstLine="240" w:firstLineChars="100"/>
        <w:rPr>
          <w:rFonts w:ascii="仿宋" w:hAnsi="仿宋" w:eastAsia="仿宋"/>
          <w:sz w:val="24"/>
        </w:rPr>
      </w:pPr>
      <w:r>
        <w:rPr>
          <w:rFonts w:hint="eastAsia" w:ascii="仿宋" w:hAnsi="仿宋" w:eastAsia="仿宋"/>
          <w:sz w:val="24"/>
        </w:rPr>
        <w:t>外观质量应符合下列规定：产品内外壁颜色皆不能使用黑色，颜色与标准色比较不得有显著差异及色条，且批内要求一致；外框内、外壁表面应光滑如一，不得有凹凸；不得有破裂；不得有明显影响外观加工使用上的缺点；不得有明显波型；不得有气泡；不得有黑点及杂质；两端切口应平整，不得有毛头；各管应以不易消失方法于管表面一端标明成品规格，产品编号。</w:t>
      </w:r>
    </w:p>
    <w:p>
      <w:pPr>
        <w:spacing w:line="360" w:lineRule="auto"/>
        <w:ind w:firstLine="240" w:firstLineChars="100"/>
        <w:rPr>
          <w:rFonts w:ascii="仿宋" w:hAnsi="仿宋" w:eastAsia="仿宋" w:cs="Times New Roman"/>
          <w:sz w:val="24"/>
        </w:rPr>
      </w:pPr>
      <w:r>
        <w:rPr>
          <w:rFonts w:hint="eastAsia" w:ascii="仿宋" w:hAnsi="仿宋" w:eastAsia="仿宋"/>
          <w:sz w:val="24"/>
        </w:rPr>
        <w:t>进场材料均应有出厂合格证、质检报告、说明书等，进厂附带质量证明文件原件一式四份，质量证明文件经监理验收合格后再验收材料，材料验收不合格不允许卸车。验收不合格所发生的费用中标方自理，并承担招标方相应的误工损失费用。</w:t>
      </w:r>
    </w:p>
    <w:p>
      <w:pPr>
        <w:spacing w:line="360" w:lineRule="auto"/>
        <w:ind w:firstLine="240" w:firstLineChars="100"/>
        <w:rPr>
          <w:rFonts w:ascii="仿宋" w:hAnsi="仿宋" w:eastAsia="仿宋" w:cs="Times New Roman"/>
          <w:sz w:val="24"/>
        </w:rPr>
      </w:pPr>
      <w:r>
        <w:rPr>
          <w:rFonts w:ascii="仿宋" w:hAnsi="仿宋" w:eastAsia="仿宋" w:cs="Times New Roman"/>
          <w:sz w:val="24"/>
        </w:rPr>
        <w:t>3、产品特殊要求及验收</w:t>
      </w:r>
    </w:p>
    <w:p>
      <w:pPr>
        <w:spacing w:line="360" w:lineRule="auto"/>
        <w:ind w:firstLine="240" w:firstLineChars="100"/>
        <w:rPr>
          <w:rFonts w:ascii="仿宋" w:hAnsi="仿宋" w:eastAsia="仿宋"/>
          <w:sz w:val="24"/>
        </w:rPr>
      </w:pPr>
      <w:r>
        <w:rPr>
          <w:rFonts w:ascii="仿宋" w:hAnsi="仿宋" w:eastAsia="仿宋"/>
          <w:sz w:val="24"/>
        </w:rPr>
        <w:t>3.1 楼宇雨污分离器</w:t>
      </w:r>
    </w:p>
    <w:p>
      <w:pPr>
        <w:widowControl/>
        <w:shd w:val="clear" w:color="auto" w:fill="auto"/>
        <w:spacing w:line="360" w:lineRule="auto"/>
        <w:ind w:firstLine="240" w:firstLineChars="100"/>
        <w:rPr>
          <w:rFonts w:ascii="仿宋" w:hAnsi="仿宋" w:eastAsia="仿宋"/>
          <w:sz w:val="24"/>
        </w:rPr>
      </w:pPr>
      <w:r>
        <w:rPr>
          <w:rFonts w:hint="eastAsia" w:ascii="仿宋" w:hAnsi="仿宋" w:eastAsia="仿宋"/>
          <w:sz w:val="24"/>
        </w:rPr>
        <w:t>（1）招标方有权在产品制造过程中派人员监督原材料使用（回用料仅允许使用来自本厂生产的同种材质的清洁料。）制作进度、包装运输及查阅乙方质检记录等情况，中标方应予以配合 。</w:t>
      </w:r>
    </w:p>
    <w:p>
      <w:pPr>
        <w:widowControl/>
        <w:shd w:val="clear" w:color="auto" w:fill="auto"/>
        <w:spacing w:line="360" w:lineRule="auto"/>
        <w:ind w:firstLine="240" w:firstLineChars="100"/>
        <w:rPr>
          <w:rFonts w:ascii="仿宋" w:hAnsi="仿宋" w:eastAsia="仿宋"/>
          <w:color w:val="5B9BD5" w:themeColor="accent1"/>
          <w:sz w:val="24"/>
        </w:rPr>
      </w:pPr>
      <w:r>
        <w:rPr>
          <w:rFonts w:hint="eastAsia" w:ascii="仿宋" w:hAnsi="仿宋" w:eastAsia="仿宋"/>
          <w:sz w:val="24"/>
        </w:rPr>
        <w:t>（2）外框规格尺寸：</w:t>
      </w:r>
      <w:r>
        <w:rPr>
          <w:rFonts w:hint="eastAsia" w:ascii="仿宋" w:hAnsi="仿宋" w:eastAsia="仿宋"/>
          <w:color w:val="000000" w:themeColor="text1"/>
          <w:sz w:val="24"/>
        </w:rPr>
        <w:t>产品</w:t>
      </w:r>
      <w:r>
        <w:rPr>
          <w:rFonts w:hint="eastAsia" w:ascii="仿宋" w:hAnsi="仿宋" w:eastAsia="仿宋"/>
          <w:sz w:val="24"/>
        </w:rPr>
        <w:t>的尺寸误差应控制国标：GB/T 14486-2008</w:t>
      </w:r>
    </w:p>
    <w:p>
      <w:pPr>
        <w:widowControl/>
        <w:shd w:val="clear" w:color="auto" w:fill="auto"/>
        <w:spacing w:line="360" w:lineRule="auto"/>
        <w:ind w:firstLine="240" w:firstLineChars="100"/>
        <w:rPr>
          <w:rFonts w:ascii="仿宋" w:hAnsi="仿宋" w:eastAsia="仿宋" w:cs="Times New Roman"/>
          <w:sz w:val="24"/>
          <w:shd w:val="clear" w:color="auto" w:fill="auto"/>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）产品</w:t>
      </w:r>
      <w:r>
        <w:rPr>
          <w:rFonts w:hint="eastAsia" w:ascii="仿宋" w:hAnsi="仿宋" w:eastAsia="仿宋" w:cs="Times New Roman"/>
          <w:sz w:val="24"/>
          <w:shd w:val="clear" w:color="auto" w:fill="auto"/>
        </w:rPr>
        <w:t>外观一致，表面光滑平整，周身不得有裂缝，破损、变形等缺陷。</w:t>
      </w:r>
    </w:p>
    <w:p>
      <w:pPr>
        <w:widowControl/>
        <w:shd w:val="clear" w:color="auto" w:fill="auto"/>
        <w:spacing w:line="360" w:lineRule="auto"/>
        <w:ind w:firstLine="240" w:firstLineChars="100"/>
        <w:rPr>
          <w:rFonts w:ascii="仿宋" w:hAnsi="仿宋" w:eastAsia="仿宋" w:cs="Times New Roman"/>
          <w:sz w:val="24"/>
          <w:shd w:val="clear" w:color="auto" w:fill="auto"/>
        </w:rPr>
      </w:pPr>
      <w:r>
        <w:rPr>
          <w:rFonts w:hint="eastAsia" w:ascii="仿宋" w:hAnsi="仿宋" w:eastAsia="仿宋" w:cs="Times New Roman"/>
          <w:sz w:val="24"/>
          <w:shd w:val="clear" w:color="auto" w:fill="auto"/>
        </w:rPr>
        <w:t>（</w:t>
      </w:r>
      <w:r>
        <w:rPr>
          <w:rFonts w:ascii="仿宋" w:hAnsi="仿宋" w:eastAsia="仿宋" w:cs="Times New Roman"/>
          <w:sz w:val="24"/>
          <w:shd w:val="clear" w:color="auto" w:fill="auto"/>
        </w:rPr>
        <w:t>4）产品内置部件安装完整，无缺失、散落固定不牢靠现象。</w:t>
      </w:r>
    </w:p>
    <w:p>
      <w:pPr>
        <w:widowControl/>
        <w:shd w:val="clear" w:color="auto" w:fill="auto"/>
        <w:spacing w:line="360" w:lineRule="auto"/>
        <w:ind w:firstLine="240" w:firstLineChars="100"/>
        <w:rPr>
          <w:rFonts w:ascii="仿宋" w:hAnsi="仿宋" w:eastAsia="仿宋" w:cs="Times New Roman"/>
          <w:sz w:val="24"/>
          <w:shd w:val="clear" w:color="auto" w:fill="auto"/>
        </w:rPr>
      </w:pPr>
      <w:r>
        <w:rPr>
          <w:rFonts w:hint="eastAsia" w:ascii="仿宋" w:hAnsi="仿宋" w:eastAsia="仿宋" w:cs="Times New Roman"/>
          <w:sz w:val="24"/>
          <w:shd w:val="clear" w:color="auto" w:fill="auto"/>
        </w:rPr>
        <w:t>（</w:t>
      </w:r>
      <w:r>
        <w:rPr>
          <w:rFonts w:ascii="仿宋" w:hAnsi="仿宋" w:eastAsia="仿宋" w:cs="Times New Roman"/>
          <w:sz w:val="24"/>
          <w:shd w:val="clear" w:color="auto" w:fill="auto"/>
        </w:rPr>
        <w:t>5）产品功能性完整，产品应能成功完成其既定功能。</w:t>
      </w:r>
    </w:p>
    <w:p>
      <w:pPr>
        <w:widowControl/>
        <w:shd w:val="clear" w:color="auto" w:fill="auto"/>
        <w:spacing w:line="360" w:lineRule="auto"/>
        <w:ind w:firstLine="240" w:firstLineChars="100"/>
        <w:rPr>
          <w:rFonts w:ascii="仿宋" w:hAnsi="仿宋" w:eastAsia="仿宋" w:cs="Times New Roman"/>
          <w:sz w:val="24"/>
          <w:shd w:val="clear" w:color="auto" w:fill="auto"/>
        </w:rPr>
      </w:pPr>
      <w:r>
        <w:rPr>
          <w:rFonts w:hint="eastAsia" w:ascii="仿宋" w:hAnsi="仿宋" w:eastAsia="仿宋" w:cs="Times New Roman"/>
          <w:sz w:val="24"/>
          <w:shd w:val="clear" w:color="auto" w:fill="auto"/>
        </w:rPr>
        <w:t>（</w:t>
      </w:r>
      <w:r>
        <w:rPr>
          <w:rFonts w:ascii="仿宋" w:hAnsi="仿宋" w:eastAsia="仿宋" w:cs="Times New Roman"/>
          <w:sz w:val="24"/>
          <w:shd w:val="clear" w:color="auto" w:fill="auto"/>
        </w:rPr>
        <w:t>6）304不锈钢材质应符合国标</w:t>
      </w:r>
      <w:r>
        <w:rPr>
          <w:rFonts w:hint="eastAsia" w:ascii="仿宋" w:hAnsi="仿宋" w:eastAsia="仿宋"/>
          <w:color w:val="FF0000"/>
          <w:sz w:val="24"/>
        </w:rPr>
        <w:t>GB/T 20878-2007</w:t>
      </w:r>
      <w:r>
        <w:rPr>
          <w:rFonts w:ascii="仿宋" w:hAnsi="仿宋" w:eastAsia="仿宋" w:cs="Times New Roman"/>
          <w:sz w:val="24"/>
          <w:shd w:val="clear" w:color="auto" w:fill="auto"/>
        </w:rPr>
        <w:t>标准规范</w:t>
      </w:r>
      <w:r>
        <w:rPr>
          <w:rFonts w:ascii="仿宋" w:hAnsi="仿宋" w:eastAsia="仿宋" w:cs="Times New Roman"/>
          <w:color w:val="000000" w:themeColor="text1"/>
          <w:sz w:val="24"/>
          <w:shd w:val="clear" w:color="auto" w:fill="auto"/>
        </w:rPr>
        <w:t>，焊接符合</w:t>
      </w:r>
      <w:r>
        <w:rPr>
          <w:rFonts w:hint="eastAsia" w:ascii="仿宋" w:hAnsi="仿宋" w:eastAsia="仿宋" w:cs="宋体"/>
          <w:color w:val="FF0000"/>
          <w:sz w:val="24"/>
          <w:shd w:val="clear" w:color="auto" w:fill="FFFFFF"/>
        </w:rPr>
        <w:t>GB/T12467.4-1998</w:t>
      </w:r>
      <w:r>
        <w:rPr>
          <w:rFonts w:ascii="仿宋" w:hAnsi="仿宋" w:eastAsia="仿宋" w:cs="Times New Roman"/>
          <w:color w:val="000000" w:themeColor="text1"/>
          <w:sz w:val="24"/>
          <w:shd w:val="clear" w:color="auto" w:fill="auto"/>
        </w:rPr>
        <w:t>标准规范。</w:t>
      </w:r>
    </w:p>
    <w:p>
      <w:pPr>
        <w:widowControl/>
        <w:numPr>
          <w:ilvl w:val="0"/>
          <w:numId w:val="4"/>
        </w:numPr>
        <w:shd w:val="clear" w:color="auto" w:fill="auto"/>
        <w:spacing w:line="360" w:lineRule="auto"/>
        <w:ind w:left="360" w:firstLine="0" w:firstLineChars="0"/>
        <w:rPr>
          <w:rFonts w:hint="eastAsia" w:ascii="仿宋" w:hAnsi="仿宋" w:eastAsia="仿宋"/>
          <w:sz w:val="24"/>
          <w:lang w:eastAsia="zh-CN"/>
        </w:rPr>
      </w:pPr>
      <w:r>
        <w:rPr>
          <w:rFonts w:ascii="仿宋" w:hAnsi="仿宋" w:eastAsia="仿宋" w:cs="Times New Roman"/>
          <w:sz w:val="24"/>
          <w:shd w:val="clear" w:color="auto" w:fill="auto"/>
        </w:rPr>
        <w:t>产品功能应满足屋面雨水排水设计</w:t>
      </w:r>
      <w:r>
        <w:rPr>
          <w:rFonts w:hint="eastAsia" w:ascii="仿宋" w:hAnsi="仿宋" w:eastAsia="仿宋"/>
          <w:sz w:val="24"/>
        </w:rPr>
        <w:t>要求</w:t>
      </w:r>
      <w:r>
        <w:rPr>
          <w:rFonts w:hint="eastAsia" w:ascii="仿宋" w:hAnsi="仿宋" w:eastAsia="仿宋"/>
          <w:sz w:val="24"/>
          <w:lang w:eastAsia="zh-CN"/>
        </w:rPr>
        <w:t>。</w:t>
      </w:r>
    </w:p>
    <w:p>
      <w:pPr>
        <w:widowControl/>
        <w:numPr>
          <w:ilvl w:val="0"/>
          <w:numId w:val="5"/>
        </w:numPr>
        <w:spacing w:line="360" w:lineRule="auto"/>
        <w:ind w:firstLine="240" w:firstLineChars="100"/>
        <w:rPr>
          <w:rFonts w:hint="eastAsia" w:ascii="仿宋" w:hAnsi="仿宋" w:eastAsia="仿宋"/>
          <w:sz w:val="24"/>
        </w:rPr>
      </w:pPr>
      <w:r>
        <w:rPr>
          <w:rFonts w:ascii="仿宋" w:hAnsi="仿宋" w:eastAsia="仿宋" w:cs="Times New Roman"/>
          <w:sz w:val="24"/>
          <w:shd w:val="clear" w:color="auto" w:fill="auto"/>
        </w:rPr>
        <w:t>验收标准参照：</w:t>
      </w:r>
      <w:r>
        <w:rPr>
          <w:rFonts w:hint="eastAsia" w:ascii="仿宋" w:hAnsi="仿宋" w:eastAsia="仿宋"/>
          <w:sz w:val="24"/>
        </w:rPr>
        <w:t>招标方在公告内的要求。招标人有权在招标前以及供货期对货物进行抽检。如交付标准与前述标准不一致的按现行标准高的执行。</w:t>
      </w:r>
    </w:p>
    <w:p>
      <w:pPr>
        <w:widowControl/>
        <w:numPr>
          <w:ilvl w:val="0"/>
          <w:numId w:val="5"/>
        </w:numPr>
        <w:spacing w:line="360" w:lineRule="auto"/>
        <w:ind w:firstLine="240" w:firstLineChars="100"/>
        <w:rPr>
          <w:rFonts w:hint="eastAsia" w:ascii="仿宋" w:hAnsi="仿宋" w:eastAsia="仿宋"/>
          <w:sz w:val="24"/>
        </w:rPr>
      </w:pPr>
      <w:r>
        <w:rPr>
          <w:rFonts w:hint="eastAsia" w:ascii="仿宋" w:hAnsi="仿宋" w:eastAsia="仿宋"/>
          <w:sz w:val="24"/>
          <w:lang w:val="en-US" w:eastAsia="zh-CN"/>
        </w:rPr>
        <w:t>外部材质为ABS，内部结构及配件为304不锈钢。</w:t>
      </w:r>
    </w:p>
    <w:p>
      <w:pPr>
        <w:numPr>
          <w:ilvl w:val="0"/>
          <w:numId w:val="0"/>
        </w:numPr>
        <w:spacing w:line="360" w:lineRule="auto"/>
        <w:ind w:firstLine="240" w:firstLineChars="100"/>
        <w:rPr>
          <w:rFonts w:ascii="仿宋" w:hAnsi="仿宋" w:eastAsia="仿宋"/>
          <w:sz w:val="24"/>
        </w:rPr>
      </w:pPr>
      <w:r>
        <w:rPr>
          <w:rFonts w:hint="eastAsia" w:ascii="仿宋" w:hAnsi="仿宋" w:eastAsia="仿宋"/>
          <w:sz w:val="24"/>
        </w:rPr>
        <w:t>配货及服务要求</w:t>
      </w:r>
    </w:p>
    <w:p>
      <w:pPr>
        <w:spacing w:line="360" w:lineRule="auto"/>
        <w:ind w:firstLine="240" w:firstLineChars="100"/>
        <w:rPr>
          <w:rFonts w:ascii="仿宋" w:hAnsi="仿宋" w:eastAsia="仿宋"/>
          <w:sz w:val="24"/>
        </w:rPr>
      </w:pPr>
      <w:r>
        <w:rPr>
          <w:rFonts w:hint="eastAsia" w:ascii="仿宋" w:hAnsi="仿宋" w:eastAsia="仿宋"/>
          <w:sz w:val="24"/>
        </w:rPr>
        <w:t>（1）楼宇雨污分离器要求中标者在收到订单7天内内配货到达指定地点；要求厂家必须委派常驻技术人员到施工现场</w:t>
      </w:r>
      <w:r>
        <w:rPr>
          <w:rFonts w:hint="eastAsia" w:ascii="仿宋" w:hAnsi="仿宋" w:eastAsia="仿宋"/>
          <w:sz w:val="24"/>
          <w:lang w:val="en-US" w:eastAsia="zh-CN"/>
        </w:rPr>
        <w:t>指导</w:t>
      </w:r>
      <w:r>
        <w:rPr>
          <w:rFonts w:hint="eastAsia" w:ascii="仿宋" w:hAnsi="仿宋" w:eastAsia="仿宋"/>
          <w:sz w:val="24"/>
        </w:rPr>
        <w:t>施工。</w:t>
      </w:r>
    </w:p>
    <w:p>
      <w:pPr>
        <w:spacing w:line="360" w:lineRule="auto"/>
        <w:ind w:firstLine="240" w:firstLineChars="100"/>
        <w:rPr>
          <w:rFonts w:ascii="仿宋" w:hAnsi="仿宋" w:eastAsia="仿宋" w:cs="Times New Roman"/>
          <w:sz w:val="24"/>
          <w:szCs w:val="24"/>
        </w:rPr>
      </w:pPr>
      <w:r>
        <w:rPr>
          <w:rFonts w:hint="eastAsia" w:ascii="仿宋" w:hAnsi="仿宋" w:eastAsia="仿宋"/>
          <w:sz w:val="24"/>
        </w:rPr>
        <w:t>（2）招标方对产品的验收合格证明不能免除供方或生产者由于产品缺陷或质量问题造成的相应责任。</w:t>
      </w:r>
    </w:p>
    <w:p>
      <w:pPr>
        <w:spacing w:line="360" w:lineRule="auto"/>
        <w:ind w:firstLine="240" w:firstLineChars="100"/>
        <w:rPr>
          <w:rFonts w:ascii="仿宋" w:hAnsi="仿宋" w:eastAsia="仿宋" w:cs="Times New Roman"/>
          <w:bCs w:val="0"/>
          <w:sz w:val="24"/>
          <w:szCs w:val="24"/>
        </w:rPr>
      </w:pPr>
      <w:r>
        <w:rPr>
          <w:rFonts w:ascii="仿宋" w:hAnsi="仿宋" w:eastAsia="仿宋" w:cs="Times New Roman"/>
          <w:b w:val="0"/>
          <w:bCs w:val="0"/>
          <w:sz w:val="24"/>
          <w:szCs w:val="24"/>
        </w:rPr>
        <w:t>5、双方其它约定事项：</w:t>
      </w:r>
    </w:p>
    <w:p>
      <w:pPr>
        <w:spacing w:line="360" w:lineRule="auto"/>
        <w:ind w:firstLine="240" w:firstLineChars="100"/>
        <w:rPr>
          <w:rFonts w:ascii="仿宋" w:hAnsi="仿宋" w:eastAsia="仿宋" w:cs="宋体"/>
          <w:bCs/>
          <w:sz w:val="24"/>
          <w:szCs w:val="21"/>
        </w:rPr>
      </w:pPr>
      <w:r>
        <w:rPr>
          <w:rFonts w:ascii="仿宋" w:hAnsi="仿宋" w:eastAsia="仿宋" w:cs="宋体"/>
          <w:sz w:val="24"/>
          <w:szCs w:val="21"/>
        </w:rPr>
        <w:t>5.1如供货方的供货能力和履约能力达不到合同要求，</w:t>
      </w:r>
      <w:r>
        <w:rPr>
          <w:rFonts w:hint="eastAsia" w:ascii="仿宋" w:hAnsi="仿宋" w:eastAsia="仿宋" w:cs="宋体"/>
          <w:sz w:val="24"/>
          <w:szCs w:val="21"/>
          <w:lang w:val="en-US" w:eastAsia="zh-CN"/>
        </w:rPr>
        <w:t>江西省</w:t>
      </w:r>
      <w:r>
        <w:rPr>
          <w:rFonts w:ascii="仿宋" w:hAnsi="仿宋" w:eastAsia="仿宋" w:cs="宋体"/>
          <w:sz w:val="24"/>
          <w:szCs w:val="21"/>
        </w:rPr>
        <w:t>新余市两江黑臭水体整治工程项目部有权增加或重新选择材料供应商，供货方须无条件接受。如供货方按合同履约，</w:t>
      </w:r>
      <w:r>
        <w:rPr>
          <w:rFonts w:hint="eastAsia" w:ascii="仿宋" w:hAnsi="仿宋" w:eastAsia="仿宋" w:cs="宋体"/>
          <w:sz w:val="24"/>
          <w:szCs w:val="21"/>
          <w:lang w:val="en-US" w:eastAsia="zh-CN"/>
        </w:rPr>
        <w:t>江西省</w:t>
      </w:r>
      <w:r>
        <w:rPr>
          <w:rFonts w:hint="eastAsia" w:ascii="仿宋" w:hAnsi="仿宋" w:eastAsia="仿宋"/>
          <w:sz w:val="24"/>
        </w:rPr>
        <w:t>新余市两江黑臭水体整治工程项目部不得另行选用其他供应商，否则视为</w:t>
      </w:r>
      <w:r>
        <w:rPr>
          <w:rFonts w:hint="eastAsia" w:ascii="仿宋" w:hAnsi="仿宋" w:eastAsia="仿宋"/>
          <w:sz w:val="24"/>
          <w:lang w:val="en-US" w:eastAsia="zh-CN"/>
        </w:rPr>
        <w:t>江西省</w:t>
      </w:r>
      <w:r>
        <w:rPr>
          <w:rFonts w:hint="eastAsia" w:ascii="仿宋" w:hAnsi="仿宋" w:eastAsia="仿宋"/>
          <w:sz w:val="24"/>
        </w:rPr>
        <w:t>新余市两江黑臭水体整治项目部违约。</w:t>
      </w:r>
    </w:p>
    <w:p>
      <w:pPr>
        <w:spacing w:line="360" w:lineRule="auto"/>
        <w:ind w:firstLine="240" w:firstLineChars="100"/>
        <w:rPr>
          <w:rFonts w:ascii="仿宋" w:hAnsi="仿宋" w:eastAsia="仿宋" w:cs="Times New Roman"/>
          <w:sz w:val="24"/>
          <w:szCs w:val="24"/>
        </w:rPr>
      </w:pPr>
      <w:r>
        <w:rPr>
          <w:rFonts w:ascii="仿宋" w:hAnsi="仿宋" w:eastAsia="仿宋" w:cs="Times New Roman"/>
          <w:sz w:val="24"/>
          <w:szCs w:val="24"/>
        </w:rPr>
        <w:t>5.2.供货方必须保证所供材料为合格产品，如验收不符合计划或合同要求或经检验产品质量不合格，供货方必须无条件接受退货处理，并承担由此发生的一切费用。</w:t>
      </w:r>
    </w:p>
    <w:p>
      <w:pPr>
        <w:spacing w:line="360" w:lineRule="auto"/>
        <w:ind w:left="0" w:leftChars="0" w:firstLine="240" w:firstLineChars="100"/>
        <w:rPr>
          <w:rFonts w:ascii="仿宋" w:hAnsi="仿宋" w:eastAsia="仿宋" w:cs="Times New Roman"/>
          <w:sz w:val="24"/>
          <w:szCs w:val="24"/>
        </w:rPr>
      </w:pPr>
      <w:r>
        <w:rPr>
          <w:rFonts w:ascii="仿宋" w:hAnsi="仿宋" w:eastAsia="仿宋" w:cs="Times New Roman"/>
          <w:sz w:val="24"/>
          <w:szCs w:val="24"/>
        </w:rPr>
        <w:t>5.3中标后合同签订时，供货方须提交营业执照、税务登记证等证件的复印件给</w:t>
      </w:r>
      <w:r>
        <w:rPr>
          <w:rFonts w:hint="eastAsia" w:ascii="仿宋" w:hAnsi="仿宋" w:eastAsia="仿宋" w:cs="Times New Roman"/>
          <w:sz w:val="24"/>
          <w:szCs w:val="24"/>
          <w:lang w:val="en-US" w:eastAsia="zh-CN"/>
        </w:rPr>
        <w:t>江西省</w:t>
      </w:r>
      <w:r>
        <w:rPr>
          <w:rFonts w:ascii="仿宋" w:hAnsi="仿宋" w:eastAsia="仿宋" w:cs="Times New Roman"/>
          <w:sz w:val="24"/>
          <w:szCs w:val="24"/>
        </w:rPr>
        <w:t>新余市两江黑臭水体整治工程项目部，并加盖公章。</w:t>
      </w:r>
    </w:p>
    <w:p>
      <w:pPr>
        <w:spacing w:line="360" w:lineRule="auto"/>
        <w:ind w:firstLine="240" w:firstLineChars="100"/>
        <w:rPr>
          <w:rFonts w:ascii="仿宋" w:hAnsi="仿宋" w:eastAsia="仿宋"/>
          <w:sz w:val="24"/>
        </w:rPr>
      </w:pPr>
    </w:p>
    <w:bookmarkEnd w:id="508"/>
    <w:bookmarkEnd w:id="509"/>
    <w:p>
      <w:pPr>
        <w:pStyle w:val="18"/>
        <w:spacing w:before="240" w:after="120"/>
        <w:ind w:firstLine="1869" w:firstLineChars="890"/>
        <w:rPr>
          <w:rFonts w:ascii="宋体" w:hAnsi="宋体" w:eastAsia="宋体" w:cs="宋体"/>
          <w:sz w:val="21"/>
          <w:szCs w:val="21"/>
        </w:rPr>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adjustRightInd w:val="0"/>
        <w:snapToGrid w:val="0"/>
        <w:spacing w:line="440" w:lineRule="exact"/>
        <w:ind w:firstLine="3092" w:firstLineChars="1100"/>
        <w:outlineLvl w:val="0"/>
        <w:rPr>
          <w:rStyle w:val="19"/>
          <w:rFonts w:hint="eastAsia"/>
          <w:sz w:val="28"/>
          <w:szCs w:val="28"/>
        </w:rPr>
      </w:pPr>
      <w:bookmarkStart w:id="510" w:name="_Toc16175987"/>
      <w:bookmarkStart w:id="511" w:name="_Toc25677"/>
    </w:p>
    <w:p>
      <w:pPr>
        <w:adjustRightInd w:val="0"/>
        <w:snapToGrid w:val="0"/>
        <w:spacing w:line="440" w:lineRule="exact"/>
        <w:ind w:firstLine="3092" w:firstLineChars="1100"/>
        <w:outlineLvl w:val="0"/>
        <w:rPr>
          <w:rStyle w:val="19"/>
          <w:rFonts w:hint="eastAsia"/>
          <w:sz w:val="28"/>
          <w:szCs w:val="28"/>
        </w:rPr>
      </w:pPr>
    </w:p>
    <w:p>
      <w:pPr>
        <w:adjustRightInd w:val="0"/>
        <w:snapToGrid w:val="0"/>
        <w:spacing w:line="440" w:lineRule="exact"/>
        <w:ind w:firstLine="3092" w:firstLineChars="1100"/>
        <w:outlineLvl w:val="0"/>
        <w:rPr>
          <w:rStyle w:val="19"/>
          <w:rFonts w:hint="eastAsia"/>
          <w:sz w:val="28"/>
          <w:szCs w:val="28"/>
        </w:rPr>
      </w:pPr>
    </w:p>
    <w:p>
      <w:pPr>
        <w:adjustRightInd w:val="0"/>
        <w:snapToGrid w:val="0"/>
        <w:spacing w:line="440" w:lineRule="exact"/>
        <w:ind w:firstLine="3092" w:firstLineChars="1100"/>
        <w:outlineLvl w:val="0"/>
        <w:rPr>
          <w:rStyle w:val="19"/>
          <w:sz w:val="28"/>
          <w:szCs w:val="28"/>
        </w:rPr>
      </w:pPr>
      <w:r>
        <w:rPr>
          <w:rStyle w:val="19"/>
          <w:rFonts w:hint="eastAsia"/>
          <w:sz w:val="28"/>
          <w:szCs w:val="28"/>
        </w:rPr>
        <w:t>第五章  合同格式</w:t>
      </w:r>
      <w:bookmarkEnd w:id="503"/>
      <w:bookmarkEnd w:id="504"/>
      <w:bookmarkEnd w:id="505"/>
      <w:bookmarkEnd w:id="506"/>
      <w:bookmarkEnd w:id="507"/>
      <w:bookmarkEnd w:id="510"/>
      <w:bookmarkEnd w:id="511"/>
    </w:p>
    <w:p/>
    <w:p>
      <w:pPr>
        <w:widowControl/>
        <w:spacing w:line="360" w:lineRule="auto"/>
        <w:ind w:firstLine="562" w:firstLineChars="200"/>
        <w:jc w:val="center"/>
        <w:outlineLvl w:val="1"/>
        <w:rPr>
          <w:b/>
          <w:sz w:val="28"/>
          <w:szCs w:val="28"/>
        </w:rPr>
      </w:pPr>
      <w:r>
        <w:rPr>
          <w:rFonts w:hint="eastAsia"/>
          <w:b/>
          <w:sz w:val="28"/>
          <w:szCs w:val="28"/>
        </w:rPr>
        <w:t>见附件</w:t>
      </w: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tabs>
          <w:tab w:val="left" w:pos="2977"/>
        </w:tabs>
        <w:adjustRightInd w:val="0"/>
        <w:snapToGrid w:val="0"/>
        <w:spacing w:line="440" w:lineRule="exact"/>
        <w:jc w:val="left"/>
        <w:rPr>
          <w:rFonts w:ascii="宋体" w:cs="宋体"/>
          <w:szCs w:val="21"/>
        </w:rPr>
      </w:pPr>
    </w:p>
    <w:p>
      <w:pPr>
        <w:pStyle w:val="18"/>
        <w:spacing w:before="240" w:after="120"/>
        <w:rPr>
          <w:rStyle w:val="19"/>
          <w:b/>
          <w:bCs/>
          <w:sz w:val="28"/>
          <w:szCs w:val="28"/>
        </w:rPr>
      </w:pPr>
      <w:bookmarkStart w:id="512" w:name="_Toc11951"/>
      <w:r>
        <w:rPr>
          <w:rStyle w:val="19"/>
          <w:rFonts w:hint="eastAsia"/>
          <w:b/>
          <w:bCs/>
          <w:sz w:val="28"/>
          <w:szCs w:val="28"/>
        </w:rPr>
        <w:t>第六章  投标文件格式</w:t>
      </w:r>
      <w:bookmarkEnd w:id="512"/>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spacing w:after="120" w:line="360" w:lineRule="auto"/>
        <w:jc w:val="center"/>
        <w:rPr>
          <w:rFonts w:ascii="宋体" w:hAnsi="宋体" w:cs="宋体"/>
          <w:b/>
          <w:sz w:val="30"/>
          <w:szCs w:val="30"/>
        </w:rPr>
      </w:pPr>
      <w:r>
        <w:rPr>
          <w:rFonts w:hint="eastAsia" w:ascii="宋体" w:hAnsi="宋体" w:cs="宋体"/>
          <w:b/>
          <w:sz w:val="30"/>
          <w:szCs w:val="30"/>
        </w:rPr>
        <w:t xml:space="preserve">中国地质工程集团有限公司                                </w:t>
      </w:r>
    </w:p>
    <w:p>
      <w:pPr>
        <w:spacing w:after="120" w:line="360" w:lineRule="auto"/>
        <w:jc w:val="center"/>
        <w:rPr>
          <w:rFonts w:hint="eastAsia" w:ascii="宋体" w:hAnsi="宋体" w:cs="宋体"/>
          <w:b/>
          <w:sz w:val="30"/>
          <w:szCs w:val="30"/>
        </w:rPr>
      </w:pPr>
      <w:r>
        <w:rPr>
          <w:rFonts w:hint="eastAsia" w:ascii="宋体" w:hAnsi="宋体" w:cs="宋体"/>
          <w:b/>
          <w:sz w:val="30"/>
          <w:szCs w:val="30"/>
          <w:lang w:val="en-US" w:eastAsia="zh-CN"/>
        </w:rPr>
        <w:t>江西省</w:t>
      </w:r>
      <w:r>
        <w:rPr>
          <w:rFonts w:hint="eastAsia" w:ascii="宋体" w:hAnsi="宋体" w:cs="宋体"/>
          <w:b/>
          <w:sz w:val="30"/>
          <w:szCs w:val="30"/>
        </w:rPr>
        <w:t>新余市两江黑臭水体整治工程项目楼宇雨污分流器采购</w:t>
      </w:r>
    </w:p>
    <w:p>
      <w:pPr>
        <w:spacing w:after="120" w:line="360" w:lineRule="auto"/>
        <w:jc w:val="center"/>
        <w:rPr>
          <w:rFonts w:ascii="宋体" w:hAnsi="宋体" w:cs="宋体"/>
          <w:b/>
          <w:sz w:val="30"/>
          <w:szCs w:val="30"/>
        </w:rPr>
      </w:pPr>
      <w:r>
        <w:rPr>
          <w:rFonts w:hint="eastAsia" w:ascii="宋体" w:hAnsi="宋体" w:cs="宋体"/>
          <w:b/>
          <w:sz w:val="30"/>
          <w:szCs w:val="30"/>
        </w:rPr>
        <w:t>投标文件</w:t>
      </w:r>
    </w:p>
    <w:p>
      <w:pPr>
        <w:spacing w:after="120" w:line="360" w:lineRule="auto"/>
        <w:jc w:val="center"/>
        <w:rPr>
          <w:rFonts w:ascii="宋体" w:hAnsi="宋体" w:cs="宋体"/>
          <w:b/>
          <w:sz w:val="30"/>
          <w:szCs w:val="30"/>
        </w:rPr>
      </w:pPr>
    </w:p>
    <w:p>
      <w:pPr>
        <w:spacing w:after="120" w:line="360" w:lineRule="auto"/>
        <w:jc w:val="center"/>
        <w:rPr>
          <w:rFonts w:ascii="宋体" w:hAnsi="宋体" w:cs="宋体"/>
          <w:b/>
          <w:sz w:val="30"/>
          <w:szCs w:val="30"/>
        </w:rPr>
      </w:pPr>
    </w:p>
    <w:p>
      <w:pPr>
        <w:spacing w:after="120" w:line="360" w:lineRule="atLeast"/>
        <w:jc w:val="center"/>
        <w:rPr>
          <w:rFonts w:ascii="宋体" w:hAnsi="宋体" w:cs="宋体"/>
          <w:b/>
          <w:sz w:val="30"/>
          <w:szCs w:val="30"/>
        </w:rPr>
      </w:pPr>
    </w:p>
    <w:p>
      <w:pPr>
        <w:spacing w:after="120"/>
        <w:jc w:val="center"/>
        <w:rPr>
          <w:rFonts w:ascii="宋体" w:cs="宋体"/>
          <w:b/>
          <w:sz w:val="32"/>
          <w:szCs w:val="32"/>
        </w:rPr>
      </w:pPr>
    </w:p>
    <w:p>
      <w:pPr>
        <w:spacing w:after="120"/>
        <w:jc w:val="center"/>
        <w:rPr>
          <w:rFonts w:ascii="宋体" w:cs="宋体"/>
          <w:b/>
          <w:sz w:val="32"/>
          <w:szCs w:val="32"/>
        </w:rPr>
      </w:pPr>
    </w:p>
    <w:p>
      <w:pPr>
        <w:spacing w:after="120"/>
        <w:jc w:val="center"/>
        <w:rPr>
          <w:rFonts w:ascii="宋体" w:cs="宋体"/>
          <w:b/>
          <w:sz w:val="32"/>
          <w:szCs w:val="32"/>
        </w:rPr>
      </w:pPr>
    </w:p>
    <w:p>
      <w:pPr>
        <w:spacing w:after="120"/>
        <w:jc w:val="center"/>
        <w:rPr>
          <w:rFonts w:ascii="宋体" w:cs="宋体"/>
          <w:b/>
          <w:sz w:val="32"/>
          <w:szCs w:val="32"/>
        </w:rPr>
      </w:pPr>
    </w:p>
    <w:p>
      <w:pPr>
        <w:spacing w:after="120"/>
        <w:jc w:val="center"/>
        <w:rPr>
          <w:rFonts w:ascii="宋体" w:cs="宋体"/>
          <w:b/>
          <w:sz w:val="32"/>
          <w:szCs w:val="32"/>
        </w:rPr>
      </w:pPr>
    </w:p>
    <w:p>
      <w:pPr>
        <w:spacing w:after="120"/>
        <w:jc w:val="center"/>
        <w:rPr>
          <w:rFonts w:ascii="宋体" w:cs="宋体"/>
          <w:b/>
          <w:sz w:val="32"/>
          <w:szCs w:val="32"/>
        </w:rPr>
      </w:pPr>
    </w:p>
    <w:p>
      <w:pPr>
        <w:spacing w:after="120"/>
        <w:jc w:val="center"/>
        <w:rPr>
          <w:rFonts w:ascii="宋体" w:cs="宋体"/>
          <w:b/>
          <w:sz w:val="32"/>
          <w:szCs w:val="32"/>
        </w:rPr>
      </w:pPr>
    </w:p>
    <w:p>
      <w:pPr>
        <w:spacing w:after="120"/>
        <w:jc w:val="center"/>
        <w:rPr>
          <w:rFonts w:ascii="宋体" w:cs="宋体"/>
          <w:b/>
          <w:sz w:val="32"/>
          <w:szCs w:val="32"/>
        </w:rPr>
      </w:pPr>
    </w:p>
    <w:p>
      <w:pPr>
        <w:spacing w:after="120"/>
        <w:jc w:val="center"/>
        <w:rPr>
          <w:rFonts w:ascii="宋体" w:cs="宋体"/>
          <w:b/>
          <w:sz w:val="32"/>
          <w:szCs w:val="32"/>
        </w:rPr>
      </w:pPr>
    </w:p>
    <w:p>
      <w:pPr>
        <w:adjustRightInd w:val="0"/>
        <w:snapToGrid w:val="0"/>
        <w:spacing w:line="440" w:lineRule="exact"/>
        <w:ind w:firstLine="720" w:firstLineChars="300"/>
        <w:outlineLvl w:val="0"/>
        <w:rPr>
          <w:rFonts w:ascii="宋体" w:cs="宋体"/>
          <w:sz w:val="24"/>
        </w:rPr>
      </w:pPr>
      <w:bookmarkStart w:id="513" w:name="_Toc5056"/>
      <w:r>
        <w:rPr>
          <w:rFonts w:hint="eastAsia" w:ascii="宋体" w:hAnsi="宋体" w:cs="宋体"/>
          <w:sz w:val="24"/>
        </w:rPr>
        <w:t>投标人名称：（盖单位公章）</w:t>
      </w:r>
      <w:bookmarkEnd w:id="513"/>
    </w:p>
    <w:p>
      <w:pPr>
        <w:adjustRightInd w:val="0"/>
        <w:snapToGrid w:val="0"/>
        <w:spacing w:line="440" w:lineRule="exact"/>
        <w:ind w:firstLine="1020" w:firstLineChars="425"/>
        <w:rPr>
          <w:rFonts w:ascii="宋体" w:cs="宋体"/>
          <w:sz w:val="24"/>
        </w:rPr>
      </w:pPr>
    </w:p>
    <w:p>
      <w:pPr>
        <w:adjustRightInd w:val="0"/>
        <w:snapToGrid w:val="0"/>
        <w:spacing w:line="440" w:lineRule="exact"/>
        <w:ind w:firstLine="720" w:firstLineChars="300"/>
        <w:outlineLvl w:val="0"/>
        <w:rPr>
          <w:rFonts w:ascii="宋体" w:cs="宋体"/>
          <w:sz w:val="24"/>
          <w:u w:val="single"/>
        </w:rPr>
      </w:pPr>
      <w:bookmarkStart w:id="514" w:name="_Toc9585"/>
      <w:r>
        <w:rPr>
          <w:rFonts w:hint="eastAsia" w:ascii="宋体" w:hAnsi="宋体" w:cs="宋体"/>
          <w:sz w:val="24"/>
        </w:rPr>
        <w:t>法定代表人或者授权委托人：（签字或盖章）</w:t>
      </w:r>
      <w:bookmarkEnd w:id="514"/>
    </w:p>
    <w:p>
      <w:pPr>
        <w:adjustRightInd w:val="0"/>
        <w:snapToGrid w:val="0"/>
        <w:spacing w:after="120" w:line="440" w:lineRule="exact"/>
        <w:ind w:firstLine="1200" w:firstLineChars="500"/>
        <w:jc w:val="left"/>
        <w:rPr>
          <w:rFonts w:ascii="宋体" w:cs="宋体"/>
          <w:sz w:val="24"/>
        </w:rPr>
      </w:pPr>
    </w:p>
    <w:p>
      <w:pPr>
        <w:adjustRightInd w:val="0"/>
        <w:snapToGrid w:val="0"/>
        <w:spacing w:line="440" w:lineRule="exact"/>
        <w:jc w:val="center"/>
        <w:outlineLvl w:val="0"/>
        <w:rPr>
          <w:rFonts w:ascii="宋体" w:cs="宋体"/>
        </w:rPr>
      </w:pPr>
      <w:bookmarkStart w:id="515" w:name="_Toc7520"/>
      <w:r>
        <w:rPr>
          <w:rFonts w:hint="eastAsia" w:ascii="宋体" w:hAnsi="宋体" w:cs="宋体"/>
          <w:sz w:val="24"/>
        </w:rPr>
        <w:t>年月日</w:t>
      </w:r>
      <w:bookmarkEnd w:id="515"/>
    </w:p>
    <w:p/>
    <w:p>
      <w:pPr>
        <w:spacing w:after="120"/>
        <w:jc w:val="center"/>
        <w:rPr>
          <w:rFonts w:ascii="宋体" w:cs="宋体"/>
          <w:b/>
          <w:sz w:val="36"/>
          <w:szCs w:val="36"/>
        </w:rPr>
      </w:pPr>
    </w:p>
    <w:p>
      <w:pPr>
        <w:spacing w:after="120"/>
        <w:jc w:val="center"/>
        <w:rPr>
          <w:rFonts w:ascii="宋体" w:cs="宋体"/>
          <w:b/>
          <w:sz w:val="36"/>
          <w:szCs w:val="36"/>
        </w:rPr>
      </w:pPr>
    </w:p>
    <w:p>
      <w:pPr>
        <w:spacing w:after="120"/>
        <w:outlineLvl w:val="0"/>
        <w:rPr>
          <w:rFonts w:ascii="宋体" w:hAnsi="宋体" w:cs="宋体"/>
          <w:b/>
          <w:sz w:val="36"/>
          <w:szCs w:val="36"/>
        </w:rPr>
      </w:pPr>
      <w:bookmarkStart w:id="516" w:name="_Toc21954"/>
    </w:p>
    <w:p>
      <w:pPr>
        <w:spacing w:after="120"/>
        <w:jc w:val="center"/>
        <w:outlineLvl w:val="0"/>
        <w:rPr>
          <w:rFonts w:ascii="宋体" w:hAnsi="宋体" w:cs="宋体"/>
          <w:b/>
          <w:sz w:val="36"/>
          <w:szCs w:val="36"/>
        </w:rPr>
      </w:pPr>
    </w:p>
    <w:p>
      <w:pPr>
        <w:spacing w:after="120"/>
        <w:jc w:val="center"/>
        <w:outlineLvl w:val="0"/>
        <w:rPr>
          <w:rFonts w:ascii="宋体" w:hAnsi="宋体" w:cs="宋体"/>
          <w:b/>
          <w:sz w:val="36"/>
          <w:szCs w:val="36"/>
        </w:rPr>
      </w:pPr>
    </w:p>
    <w:p>
      <w:pPr>
        <w:spacing w:after="120"/>
        <w:jc w:val="center"/>
        <w:outlineLvl w:val="0"/>
        <w:rPr>
          <w:rFonts w:ascii="宋体" w:cs="宋体"/>
          <w:b/>
          <w:sz w:val="36"/>
          <w:szCs w:val="36"/>
        </w:rPr>
      </w:pPr>
      <w:r>
        <w:rPr>
          <w:rFonts w:hint="eastAsia" w:ascii="宋体" w:hAnsi="宋体" w:cs="宋体"/>
          <w:b/>
          <w:sz w:val="36"/>
          <w:szCs w:val="36"/>
        </w:rPr>
        <w:t>目录</w:t>
      </w:r>
      <w:bookmarkEnd w:id="516"/>
    </w:p>
    <w:p>
      <w:pPr>
        <w:jc w:val="left"/>
      </w:pPr>
    </w:p>
    <w:p>
      <w:pPr>
        <w:pStyle w:val="21"/>
        <w:numPr>
          <w:ilvl w:val="0"/>
          <w:numId w:val="6"/>
        </w:numPr>
        <w:tabs>
          <w:tab w:val="left" w:pos="567"/>
        </w:tabs>
        <w:adjustRightInd w:val="0"/>
        <w:snapToGrid w:val="0"/>
        <w:spacing w:line="360" w:lineRule="auto"/>
        <w:ind w:firstLine="480" w:firstLineChars="200"/>
        <w:jc w:val="left"/>
        <w:outlineLvl w:val="0"/>
        <w:rPr>
          <w:rFonts w:ascii="宋体" w:hAnsi="宋体" w:cs="宋体"/>
          <w:sz w:val="24"/>
        </w:rPr>
      </w:pPr>
      <w:bookmarkStart w:id="517" w:name="_Toc5756"/>
      <w:r>
        <w:rPr>
          <w:rFonts w:hint="eastAsia" w:ascii="宋体" w:hAnsi="宋体" w:cs="宋体"/>
          <w:sz w:val="24"/>
        </w:rPr>
        <w:t>投标函</w:t>
      </w:r>
      <w:bookmarkEnd w:id="517"/>
    </w:p>
    <w:p>
      <w:pPr>
        <w:pStyle w:val="21"/>
        <w:numPr>
          <w:ilvl w:val="0"/>
          <w:numId w:val="6"/>
        </w:numPr>
        <w:tabs>
          <w:tab w:val="left" w:pos="567"/>
        </w:tabs>
        <w:spacing w:line="360" w:lineRule="auto"/>
        <w:ind w:firstLine="480" w:firstLineChars="200"/>
        <w:jc w:val="left"/>
        <w:rPr>
          <w:rFonts w:ascii="宋体" w:hAnsi="宋体" w:cs="宋体"/>
          <w:sz w:val="24"/>
        </w:rPr>
      </w:pPr>
      <w:r>
        <w:rPr>
          <w:rFonts w:hint="eastAsia" w:ascii="宋体" w:hAnsi="宋体" w:cs="宋体"/>
          <w:sz w:val="24"/>
        </w:rPr>
        <w:t>楼宇雨污分流器投标报价表</w:t>
      </w:r>
    </w:p>
    <w:p>
      <w:pPr>
        <w:pStyle w:val="21"/>
        <w:numPr>
          <w:ilvl w:val="0"/>
          <w:numId w:val="6"/>
        </w:numPr>
        <w:spacing w:line="360" w:lineRule="auto"/>
        <w:ind w:firstLine="480"/>
        <w:jc w:val="left"/>
        <w:rPr>
          <w:rFonts w:ascii="宋体" w:hAnsi="宋体" w:cs="宋体"/>
          <w:sz w:val="24"/>
        </w:rPr>
      </w:pPr>
      <w:bookmarkStart w:id="518" w:name="_Toc30558"/>
      <w:r>
        <w:rPr>
          <w:rFonts w:hint="eastAsia" w:ascii="宋体" w:hAnsi="宋体" w:cs="宋体"/>
          <w:sz w:val="24"/>
        </w:rPr>
        <w:t>法定代表人身份证明</w:t>
      </w:r>
      <w:bookmarkEnd w:id="518"/>
    </w:p>
    <w:p>
      <w:pPr>
        <w:pStyle w:val="21"/>
        <w:numPr>
          <w:ilvl w:val="0"/>
          <w:numId w:val="6"/>
        </w:numPr>
        <w:tabs>
          <w:tab w:val="left" w:pos="567"/>
        </w:tabs>
        <w:spacing w:line="360" w:lineRule="auto"/>
        <w:ind w:firstLine="480" w:firstLineChars="200"/>
        <w:jc w:val="left"/>
        <w:rPr>
          <w:rFonts w:ascii="宋体" w:hAnsi="宋体" w:cs="宋体"/>
          <w:sz w:val="24"/>
        </w:rPr>
      </w:pPr>
      <w:bookmarkStart w:id="519" w:name="_Toc2428"/>
      <w:r>
        <w:rPr>
          <w:rFonts w:hint="eastAsia" w:ascii="宋体" w:hAnsi="宋体" w:cs="宋体"/>
          <w:sz w:val="24"/>
        </w:rPr>
        <w:t>法定代表人授权委托书</w:t>
      </w:r>
      <w:bookmarkEnd w:id="519"/>
    </w:p>
    <w:p>
      <w:pPr>
        <w:pStyle w:val="21"/>
        <w:numPr>
          <w:ilvl w:val="0"/>
          <w:numId w:val="6"/>
        </w:numPr>
        <w:tabs>
          <w:tab w:val="left" w:pos="567"/>
        </w:tabs>
        <w:spacing w:line="360" w:lineRule="auto"/>
        <w:ind w:firstLine="480" w:firstLineChars="200"/>
        <w:jc w:val="left"/>
        <w:rPr>
          <w:rFonts w:ascii="宋体" w:hAnsi="宋体" w:cs="宋体"/>
          <w:sz w:val="24"/>
        </w:rPr>
      </w:pPr>
      <w:bookmarkStart w:id="520" w:name="_Toc7209"/>
      <w:r>
        <w:rPr>
          <w:rFonts w:hint="eastAsia" w:ascii="宋体" w:hAnsi="宋体" w:cs="宋体"/>
          <w:sz w:val="24"/>
        </w:rPr>
        <w:t>投标保证金（无）</w:t>
      </w:r>
    </w:p>
    <w:bookmarkEnd w:id="520"/>
    <w:p>
      <w:pPr>
        <w:pStyle w:val="21"/>
        <w:numPr>
          <w:ilvl w:val="0"/>
          <w:numId w:val="6"/>
        </w:numPr>
        <w:tabs>
          <w:tab w:val="left" w:pos="567"/>
        </w:tabs>
        <w:spacing w:line="360" w:lineRule="auto"/>
        <w:ind w:firstLine="480" w:firstLineChars="200"/>
        <w:jc w:val="left"/>
        <w:rPr>
          <w:rFonts w:ascii="宋体" w:cs="宋体"/>
          <w:sz w:val="24"/>
        </w:rPr>
      </w:pPr>
      <w:r>
        <w:rPr>
          <w:rFonts w:hint="eastAsia" w:ascii="宋体" w:hAnsi="宋体"/>
          <w:sz w:val="24"/>
        </w:rPr>
        <w:t>资格审查资料</w:t>
      </w:r>
    </w:p>
    <w:p>
      <w:pPr>
        <w:pStyle w:val="21"/>
        <w:numPr>
          <w:ilvl w:val="0"/>
          <w:numId w:val="6"/>
        </w:numPr>
        <w:tabs>
          <w:tab w:val="left" w:pos="567"/>
        </w:tabs>
        <w:spacing w:line="360" w:lineRule="auto"/>
        <w:ind w:firstLine="480" w:firstLineChars="200"/>
        <w:jc w:val="left"/>
        <w:rPr>
          <w:rFonts w:ascii="宋体" w:hAnsi="宋体" w:cs="宋体"/>
          <w:sz w:val="24"/>
        </w:rPr>
      </w:pPr>
      <w:r>
        <w:rPr>
          <w:rFonts w:hint="eastAsia" w:ascii="宋体" w:hAnsi="宋体" w:cs="宋体"/>
          <w:sz w:val="24"/>
        </w:rPr>
        <w:t>近三年业绩情况表</w:t>
      </w:r>
    </w:p>
    <w:p>
      <w:pPr>
        <w:pStyle w:val="21"/>
        <w:numPr>
          <w:ilvl w:val="0"/>
          <w:numId w:val="6"/>
        </w:numPr>
        <w:tabs>
          <w:tab w:val="left" w:pos="567"/>
        </w:tabs>
        <w:spacing w:line="360" w:lineRule="auto"/>
        <w:ind w:firstLine="480" w:firstLineChars="200"/>
        <w:jc w:val="left"/>
        <w:rPr>
          <w:rFonts w:ascii="宋体" w:hAnsi="宋体" w:cs="宋体"/>
          <w:sz w:val="24"/>
        </w:rPr>
      </w:pPr>
      <w:r>
        <w:rPr>
          <w:rFonts w:hint="eastAsia" w:ascii="宋体" w:hAnsi="宋体" w:cs="宋体"/>
          <w:sz w:val="24"/>
        </w:rPr>
        <w:t>其他相关证明材料</w:t>
      </w:r>
    </w:p>
    <w:p>
      <w:pPr>
        <w:pStyle w:val="13"/>
        <w:tabs>
          <w:tab w:val="left" w:pos="588"/>
        </w:tabs>
        <w:snapToGrid w:val="0"/>
        <w:spacing w:before="120" w:after="120" w:line="360" w:lineRule="auto"/>
        <w:jc w:val="left"/>
        <w:outlineLvl w:val="9"/>
        <w:rPr>
          <w:rFonts w:ascii="宋体" w:hAnsi="宋体" w:cs="宋体"/>
          <w:sz w:val="24"/>
        </w:rPr>
      </w:pPr>
      <w:bookmarkStart w:id="521" w:name="_Toc10711"/>
    </w:p>
    <w:bookmarkEnd w:id="521"/>
    <w:p>
      <w:pPr>
        <w:pStyle w:val="13"/>
        <w:tabs>
          <w:tab w:val="left" w:pos="588"/>
        </w:tabs>
        <w:snapToGrid w:val="0"/>
        <w:spacing w:before="120" w:after="120" w:line="440" w:lineRule="exact"/>
        <w:jc w:val="left"/>
        <w:outlineLvl w:val="9"/>
        <w:rPr>
          <w:rFonts w:ascii="宋体"/>
          <w:sz w:val="24"/>
          <w:szCs w:val="24"/>
        </w:rPr>
      </w:pPr>
    </w:p>
    <w:p>
      <w:pPr>
        <w:pStyle w:val="13"/>
        <w:tabs>
          <w:tab w:val="left" w:pos="588"/>
        </w:tabs>
        <w:snapToGrid w:val="0"/>
        <w:spacing w:before="120" w:after="120" w:line="440" w:lineRule="exact"/>
        <w:jc w:val="left"/>
        <w:outlineLvl w:val="9"/>
        <w:rPr>
          <w:rFonts w:ascii="宋体"/>
          <w:sz w:val="24"/>
          <w:szCs w:val="24"/>
        </w:rPr>
      </w:pPr>
    </w:p>
    <w:p>
      <w:pPr>
        <w:rPr>
          <w:rFonts w:ascii="宋体"/>
          <w:sz w:val="24"/>
        </w:rPr>
      </w:pPr>
    </w:p>
    <w:p>
      <w:pPr>
        <w:rPr>
          <w:rFonts w:ascii="宋体"/>
          <w:sz w:val="24"/>
        </w:rPr>
      </w:pPr>
    </w:p>
    <w:p>
      <w:pPr>
        <w:rPr>
          <w:rFonts w:ascii="宋体"/>
          <w:sz w:val="24"/>
        </w:rPr>
      </w:pPr>
    </w:p>
    <w:p>
      <w:pPr>
        <w:pStyle w:val="13"/>
        <w:tabs>
          <w:tab w:val="left" w:pos="588"/>
        </w:tabs>
        <w:snapToGrid w:val="0"/>
        <w:spacing w:before="120" w:after="120" w:line="440" w:lineRule="exact"/>
        <w:jc w:val="left"/>
        <w:outlineLvl w:val="9"/>
        <w:rPr>
          <w:rFonts w:ascii="宋体"/>
          <w:sz w:val="24"/>
          <w:szCs w:val="24"/>
        </w:rPr>
      </w:pPr>
    </w:p>
    <w:p>
      <w:pPr>
        <w:pStyle w:val="13"/>
        <w:tabs>
          <w:tab w:val="left" w:pos="588"/>
        </w:tabs>
        <w:snapToGrid w:val="0"/>
        <w:spacing w:before="120" w:after="120" w:line="440" w:lineRule="exact"/>
        <w:jc w:val="left"/>
        <w:outlineLvl w:val="9"/>
        <w:rPr>
          <w:rFonts w:ascii="宋体"/>
          <w:sz w:val="24"/>
          <w:szCs w:val="24"/>
        </w:rPr>
      </w:pPr>
    </w:p>
    <w:p>
      <w:pPr>
        <w:pStyle w:val="13"/>
        <w:tabs>
          <w:tab w:val="left" w:pos="588"/>
        </w:tabs>
        <w:snapToGrid w:val="0"/>
        <w:spacing w:before="120" w:after="120" w:line="440" w:lineRule="exact"/>
        <w:jc w:val="left"/>
        <w:outlineLvl w:val="9"/>
        <w:rPr>
          <w:rFonts w:ascii="宋体"/>
          <w:sz w:val="24"/>
          <w:szCs w:val="24"/>
        </w:rPr>
      </w:pPr>
    </w:p>
    <w:p>
      <w:pPr>
        <w:pStyle w:val="13"/>
        <w:tabs>
          <w:tab w:val="left" w:pos="588"/>
        </w:tabs>
        <w:snapToGrid w:val="0"/>
        <w:spacing w:before="120" w:after="120" w:line="440" w:lineRule="exact"/>
        <w:jc w:val="left"/>
        <w:outlineLvl w:val="9"/>
        <w:rPr>
          <w:rFonts w:ascii="宋体"/>
          <w:sz w:val="24"/>
          <w:szCs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pStyle w:val="13"/>
        <w:tabs>
          <w:tab w:val="left" w:pos="588"/>
        </w:tabs>
        <w:snapToGrid w:val="0"/>
        <w:spacing w:before="120" w:after="120" w:line="440" w:lineRule="exact"/>
        <w:jc w:val="left"/>
        <w:outlineLvl w:val="9"/>
        <w:rPr>
          <w:rFonts w:ascii="宋体"/>
          <w:sz w:val="24"/>
          <w:szCs w:val="24"/>
        </w:rPr>
      </w:pPr>
    </w:p>
    <w:p/>
    <w:p>
      <w:pPr>
        <w:pStyle w:val="3"/>
        <w:snapToGrid w:val="0"/>
        <w:spacing w:before="240" w:after="120" w:line="240" w:lineRule="auto"/>
        <w:jc w:val="center"/>
        <w:rPr>
          <w:rFonts w:ascii="宋体" w:hAnsi="宋体" w:eastAsia="宋体" w:cs="宋体"/>
          <w:bCs w:val="0"/>
          <w:sz w:val="24"/>
          <w:szCs w:val="24"/>
        </w:rPr>
      </w:pPr>
      <w:bookmarkStart w:id="522" w:name="_Toc6908"/>
      <w:r>
        <w:rPr>
          <w:rFonts w:hint="eastAsia" w:ascii="宋体" w:hAnsi="宋体" w:eastAsia="宋体" w:cs="宋体"/>
          <w:bCs w:val="0"/>
          <w:sz w:val="24"/>
          <w:szCs w:val="24"/>
        </w:rPr>
        <w:t>一、投标函</w:t>
      </w:r>
      <w:bookmarkEnd w:id="522"/>
    </w:p>
    <w:p>
      <w:pPr>
        <w:adjustRightInd w:val="0"/>
        <w:snapToGrid w:val="0"/>
        <w:spacing w:line="400" w:lineRule="exact"/>
        <w:jc w:val="left"/>
        <w:rPr>
          <w:rFonts w:ascii="宋体" w:cs="宋体"/>
          <w:szCs w:val="21"/>
        </w:rPr>
      </w:pPr>
      <w:r>
        <w:rPr>
          <w:rFonts w:hint="eastAsia" w:ascii="宋体" w:hAnsi="宋体" w:cs="宋体"/>
          <w:szCs w:val="21"/>
        </w:rPr>
        <w:t>致：</w:t>
      </w:r>
    </w:p>
    <w:p>
      <w:pPr>
        <w:spacing w:line="400" w:lineRule="exact"/>
        <w:ind w:firstLine="420" w:firstLineChars="200"/>
        <w:rPr>
          <w:rFonts w:ascii="宋体" w:hAnsi="宋体"/>
          <w:szCs w:val="21"/>
        </w:rPr>
      </w:pPr>
      <w:r>
        <w:rPr>
          <w:rFonts w:hint="eastAsia" w:ascii="宋体" w:hAnsi="宋体"/>
          <w:szCs w:val="21"/>
          <w:u w:val="single"/>
        </w:rPr>
        <w:t>（投标人名称）</w:t>
      </w:r>
      <w:r>
        <w:rPr>
          <w:rFonts w:hint="eastAsia" w:ascii="宋体" w:hAnsi="宋体"/>
          <w:szCs w:val="21"/>
        </w:rPr>
        <w:t>（以下称“我方”）已仔细研究了</w:t>
      </w:r>
      <w:r>
        <w:rPr>
          <w:rFonts w:hint="eastAsia" w:ascii="宋体" w:hAnsi="宋体"/>
          <w:szCs w:val="21"/>
          <w:lang w:val="en-US" w:eastAsia="zh-CN"/>
        </w:rPr>
        <w:t>江西省</w:t>
      </w:r>
      <w:r>
        <w:rPr>
          <w:rFonts w:hint="eastAsia" w:ascii="宋体" w:hAnsi="宋体"/>
          <w:szCs w:val="21"/>
        </w:rPr>
        <w:t>新余市</w:t>
      </w:r>
      <w:r>
        <w:rPr>
          <w:rFonts w:hint="eastAsia"/>
        </w:rPr>
        <w:t>两江</w:t>
      </w:r>
      <w:r>
        <w:rPr>
          <w:rFonts w:hint="eastAsia" w:ascii="宋体" w:hAnsi="宋体"/>
          <w:szCs w:val="21"/>
        </w:rPr>
        <w:t>臭水体整治工程项目楼宇雨污分流器采购项目的招标文件的全部内容，</w:t>
      </w:r>
      <w:r>
        <w:rPr>
          <w:rFonts w:hint="eastAsia" w:ascii="宋体" w:hAnsi="宋体"/>
          <w:bCs/>
          <w:szCs w:val="21"/>
        </w:rPr>
        <w:t>包括澄清或者修改文件以及有关附件</w:t>
      </w:r>
      <w:r>
        <w:rPr>
          <w:rFonts w:hint="eastAsia" w:ascii="宋体" w:hAnsi="宋体"/>
          <w:szCs w:val="21"/>
        </w:rPr>
        <w:t>，决定参与本项目采购招标</w:t>
      </w:r>
      <w:r>
        <w:rPr>
          <w:rFonts w:hint="eastAsia" w:ascii="宋体" w:hAnsi="宋体"/>
          <w:szCs w:val="21"/>
          <w:u w:val="single"/>
        </w:rPr>
        <w:t>，</w:t>
      </w:r>
      <w:r>
        <w:rPr>
          <w:rFonts w:hint="eastAsia" w:ascii="宋体" w:hAnsi="宋体"/>
          <w:szCs w:val="21"/>
        </w:rPr>
        <w:t>我方将严格按照招标文件要求递交符合要求的全部投标文件。</w:t>
      </w:r>
    </w:p>
    <w:p>
      <w:pPr>
        <w:spacing w:line="400" w:lineRule="exact"/>
        <w:ind w:firstLine="420" w:firstLineChars="200"/>
        <w:rPr>
          <w:rFonts w:ascii="宋体"/>
          <w:szCs w:val="21"/>
        </w:rPr>
      </w:pPr>
      <w:r>
        <w:rPr>
          <w:rFonts w:hint="eastAsia" w:ascii="宋体" w:hAnsi="宋体"/>
          <w:szCs w:val="21"/>
        </w:rPr>
        <w:t>我方承诺如下内容：</w:t>
      </w:r>
    </w:p>
    <w:p>
      <w:pPr>
        <w:spacing w:line="400" w:lineRule="exact"/>
        <w:ind w:firstLine="420" w:firstLineChars="200"/>
        <w:rPr>
          <w:rFonts w:ascii="宋体" w:hAnsi="宋体"/>
          <w:szCs w:val="21"/>
        </w:rPr>
      </w:pPr>
      <w:r>
        <w:rPr>
          <w:rFonts w:ascii="宋体" w:hAnsi="宋体"/>
          <w:szCs w:val="21"/>
        </w:rPr>
        <w:t>1.</w:t>
      </w:r>
      <w:r>
        <w:rPr>
          <w:rFonts w:hint="eastAsia" w:ascii="宋体" w:hAnsi="宋体"/>
          <w:szCs w:val="21"/>
        </w:rPr>
        <w:t>后附询价单为我方对本项目投标价格的真实表达。</w:t>
      </w:r>
    </w:p>
    <w:p>
      <w:pPr>
        <w:spacing w:line="40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我方的投标文件包含第二章“投标人须知”第</w:t>
      </w:r>
      <w:r>
        <w:rPr>
          <w:rFonts w:ascii="宋体" w:hAnsi="宋体"/>
          <w:szCs w:val="21"/>
        </w:rPr>
        <w:t>3.1</w:t>
      </w:r>
      <w:r>
        <w:rPr>
          <w:rFonts w:hint="eastAsia" w:ascii="宋体" w:hAnsi="宋体"/>
          <w:szCs w:val="21"/>
        </w:rPr>
        <w:t>款规定的全部内容。</w:t>
      </w:r>
    </w:p>
    <w:p>
      <w:pPr>
        <w:spacing w:line="400" w:lineRule="exact"/>
        <w:ind w:firstLine="420" w:firstLineChars="200"/>
        <w:jc w:val="left"/>
        <w:rPr>
          <w:rFonts w:ascii="宋体"/>
          <w:szCs w:val="21"/>
        </w:rPr>
      </w:pPr>
      <w:r>
        <w:rPr>
          <w:rFonts w:hint="eastAsia" w:ascii="宋体" w:hAnsi="宋体"/>
          <w:szCs w:val="21"/>
        </w:rPr>
        <w:t>3</w:t>
      </w:r>
      <w:r>
        <w:rPr>
          <w:rFonts w:ascii="宋体" w:hAnsi="宋体"/>
          <w:szCs w:val="21"/>
        </w:rPr>
        <w:t>.</w:t>
      </w:r>
      <w:r>
        <w:rPr>
          <w:rFonts w:hint="eastAsia" w:ascii="宋体" w:hAnsi="宋体"/>
          <w:szCs w:val="21"/>
        </w:rPr>
        <w:t>我方承诺在招标文件规定的投标有效期30日历天（从投标截止之日算起）内不修改、撤销投标文件。</w:t>
      </w:r>
    </w:p>
    <w:p>
      <w:pPr>
        <w:spacing w:line="400" w:lineRule="exact"/>
        <w:ind w:firstLine="420" w:firstLineChars="200"/>
        <w:rPr>
          <w:rFonts w:ascii="宋体"/>
          <w:szCs w:val="21"/>
        </w:rPr>
      </w:pPr>
      <w:r>
        <w:rPr>
          <w:rFonts w:hint="eastAsia" w:ascii="宋体" w:hAnsi="宋体"/>
          <w:szCs w:val="21"/>
        </w:rPr>
        <w:t>4</w:t>
      </w:r>
      <w:r>
        <w:rPr>
          <w:rFonts w:ascii="宋体" w:hAnsi="宋体"/>
          <w:szCs w:val="21"/>
        </w:rPr>
        <w:t>.</w:t>
      </w:r>
      <w:r>
        <w:rPr>
          <w:rFonts w:hint="eastAsia" w:ascii="宋体" w:hAnsi="宋体"/>
          <w:szCs w:val="21"/>
        </w:rPr>
        <w:t>我方在评标过程中根据评标委员会要求提供的符合相关规定的澄清文件，构成投标文件的组成部分。</w:t>
      </w:r>
    </w:p>
    <w:p>
      <w:pPr>
        <w:spacing w:line="400" w:lineRule="exact"/>
        <w:ind w:firstLine="420" w:firstLineChars="200"/>
        <w:rPr>
          <w:rFonts w:ascii="宋体"/>
          <w:szCs w:val="21"/>
        </w:rPr>
      </w:pPr>
      <w:r>
        <w:rPr>
          <w:rFonts w:hint="eastAsia" w:ascii="宋体" w:hAnsi="宋体"/>
          <w:szCs w:val="21"/>
        </w:rPr>
        <w:t>5</w:t>
      </w:r>
      <w:r>
        <w:rPr>
          <w:rFonts w:ascii="宋体" w:hAnsi="宋体"/>
          <w:szCs w:val="21"/>
        </w:rPr>
        <w:t>.</w:t>
      </w:r>
      <w:r>
        <w:rPr>
          <w:rFonts w:hint="eastAsia" w:ascii="宋体" w:hAnsi="宋体"/>
          <w:szCs w:val="21"/>
        </w:rPr>
        <w:t>我方同意提供贵方可能要求的与投标有关的一切数据或者资料，并完全理解贵方不一定接受最低价的投标。</w:t>
      </w:r>
    </w:p>
    <w:p>
      <w:pPr>
        <w:spacing w:line="400" w:lineRule="exact"/>
        <w:ind w:firstLine="420" w:firstLineChars="200"/>
        <w:rPr>
          <w:rFonts w:ascii="宋体"/>
          <w:szCs w:val="21"/>
        </w:rPr>
      </w:pPr>
      <w:r>
        <w:rPr>
          <w:rFonts w:hint="eastAsia" w:ascii="宋体" w:hAnsi="宋体"/>
          <w:szCs w:val="21"/>
        </w:rPr>
        <w:t>6</w:t>
      </w:r>
      <w:r>
        <w:rPr>
          <w:rFonts w:ascii="宋体" w:hAnsi="宋体"/>
          <w:szCs w:val="21"/>
        </w:rPr>
        <w:t>.</w:t>
      </w:r>
      <w:r>
        <w:rPr>
          <w:rFonts w:hint="eastAsia" w:ascii="宋体" w:hAnsi="宋体"/>
          <w:szCs w:val="21"/>
        </w:rPr>
        <w:t>我方承诺不向第三方透露与招标相关的所有信息。</w:t>
      </w:r>
    </w:p>
    <w:p>
      <w:pPr>
        <w:spacing w:line="400" w:lineRule="exact"/>
        <w:ind w:firstLine="420" w:firstLineChars="200"/>
        <w:rPr>
          <w:rFonts w:ascii="宋体"/>
          <w:szCs w:val="21"/>
        </w:rPr>
      </w:pPr>
      <w:r>
        <w:rPr>
          <w:rFonts w:hint="eastAsia" w:ascii="宋体" w:hAnsi="宋体"/>
          <w:szCs w:val="21"/>
        </w:rPr>
        <w:t>7</w:t>
      </w:r>
      <w:r>
        <w:rPr>
          <w:rFonts w:ascii="宋体" w:hAnsi="宋体"/>
          <w:szCs w:val="21"/>
        </w:rPr>
        <w:t>.</w:t>
      </w:r>
      <w:r>
        <w:rPr>
          <w:rFonts w:hint="eastAsia" w:ascii="宋体" w:hAnsi="宋体"/>
          <w:szCs w:val="21"/>
        </w:rPr>
        <w:t>如我方中标：</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）我方承诺在中标后，在规定的期限内与你方签订合同。</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）按照招标文件的规定及合同约定履行相关责任和义务。</w:t>
      </w:r>
    </w:p>
    <w:p>
      <w:pPr>
        <w:spacing w:line="400" w:lineRule="exact"/>
        <w:ind w:firstLine="420" w:firstLineChars="200"/>
        <w:rPr>
          <w:rFonts w:ascii="宋体"/>
          <w:szCs w:val="21"/>
        </w:rPr>
      </w:pPr>
      <w:r>
        <w:rPr>
          <w:rFonts w:hint="eastAsia" w:ascii="宋体" w:hAnsi="宋体"/>
          <w:szCs w:val="21"/>
        </w:rPr>
        <w:t>我方在此声明，所递交的投标文件及有关资料内容完整、真实和准确，且不存在第二章“投标人须知”第</w:t>
      </w:r>
      <w:r>
        <w:rPr>
          <w:rFonts w:ascii="宋体" w:hAnsi="宋体"/>
          <w:szCs w:val="21"/>
        </w:rPr>
        <w:t>1.8</w:t>
      </w:r>
      <w:r>
        <w:rPr>
          <w:rFonts w:hint="eastAsia" w:ascii="宋体" w:hAnsi="宋体"/>
          <w:szCs w:val="21"/>
        </w:rPr>
        <w:t>款规定的任何一种情形。如有弄虚作假，将承担相应的法律责任，并赔偿由此造成的一切损失。</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ind w:firstLine="3150" w:firstLineChars="1500"/>
        <w:rPr>
          <w:rFonts w:ascii="宋体"/>
          <w:szCs w:val="21"/>
        </w:rPr>
      </w:pPr>
      <w:r>
        <w:rPr>
          <w:rFonts w:hint="eastAsia" w:ascii="宋体" w:hAnsi="宋体"/>
          <w:szCs w:val="21"/>
        </w:rPr>
        <w:t>投标人名称：（盖单位公章）</w:t>
      </w:r>
    </w:p>
    <w:p>
      <w:pPr>
        <w:spacing w:line="400" w:lineRule="exact"/>
        <w:rPr>
          <w:rFonts w:ascii="宋体"/>
          <w:szCs w:val="21"/>
        </w:rPr>
      </w:pPr>
      <w:r>
        <w:rPr>
          <w:rFonts w:hint="eastAsia" w:ascii="宋体" w:hAnsi="宋体"/>
          <w:szCs w:val="21"/>
        </w:rPr>
        <w:t>法定代表人或者授权委托人：（签字或盖章）</w:t>
      </w:r>
    </w:p>
    <w:p>
      <w:pPr>
        <w:spacing w:line="400" w:lineRule="exact"/>
        <w:rPr>
          <w:rFonts w:ascii="宋体"/>
          <w:szCs w:val="21"/>
        </w:rPr>
      </w:pPr>
    </w:p>
    <w:p>
      <w:pPr>
        <w:spacing w:line="400" w:lineRule="exact"/>
        <w:sectPr>
          <w:headerReference r:id="rId6" w:type="first"/>
          <w:footerReference r:id="rId8" w:type="first"/>
          <w:footerReference r:id="rId7" w:type="default"/>
          <w:pgSz w:w="11906" w:h="16838"/>
          <w:pgMar w:top="1134" w:right="1800" w:bottom="1134" w:left="1400" w:header="851" w:footer="992" w:gutter="0"/>
          <w:pgNumType w:fmt="numberInDash"/>
          <w:cols w:space="720" w:num="1"/>
          <w:titlePg/>
          <w:docGrid w:linePitch="286" w:charSpace="0"/>
        </w:sectPr>
      </w:pPr>
      <w:r>
        <w:rPr>
          <w:rFonts w:hint="eastAsia"/>
        </w:rPr>
        <w:t>年月日</w:t>
      </w:r>
      <w:bookmarkStart w:id="523" w:name="_Toc19420"/>
    </w:p>
    <w:p>
      <w:pPr>
        <w:pStyle w:val="3"/>
        <w:snapToGrid w:val="0"/>
        <w:spacing w:before="240" w:after="120" w:line="240" w:lineRule="auto"/>
        <w:jc w:val="left"/>
        <w:rPr>
          <w:rFonts w:ascii="华文中宋" w:hAnsi="华文中宋" w:eastAsia="华文中宋" w:cs="华文中宋"/>
          <w:sz w:val="24"/>
        </w:rPr>
      </w:pPr>
      <w:r>
        <w:rPr>
          <w:rFonts w:hint="eastAsia" w:ascii="宋体" w:hAnsi="宋体" w:eastAsia="宋体" w:cs="宋体"/>
          <w:bCs w:val="0"/>
          <w:sz w:val="24"/>
          <w:szCs w:val="24"/>
        </w:rPr>
        <w:t>附件：                                        楼宇雨污分流器</w:t>
      </w:r>
      <w:r>
        <w:rPr>
          <w:rFonts w:hint="eastAsia" w:ascii="华文中宋" w:hAnsi="华文中宋" w:eastAsia="华文中宋" w:cs="华文中宋"/>
          <w:sz w:val="24"/>
        </w:rPr>
        <w:t>投标报价表（格式）</w:t>
      </w:r>
    </w:p>
    <w:p>
      <w:pPr>
        <w:rPr>
          <w:rFonts w:ascii="宋体" w:hAnsi="宋体" w:eastAsia="华文中宋"/>
          <w:sz w:val="24"/>
        </w:rPr>
      </w:pPr>
      <w:r>
        <w:rPr>
          <w:rFonts w:hint="eastAsia" w:ascii="华文中宋" w:hAnsi="华文中宋" w:eastAsia="华文中宋" w:cs="华文中宋"/>
          <w:b/>
          <w:sz w:val="24"/>
          <w:lang w:val="en-US" w:eastAsia="zh-CN"/>
        </w:rPr>
        <w:t>项目</w:t>
      </w:r>
      <w:r>
        <w:rPr>
          <w:rFonts w:hint="eastAsia" w:ascii="华文中宋" w:hAnsi="华文中宋" w:eastAsia="华文中宋" w:cs="华文中宋"/>
          <w:b/>
          <w:sz w:val="24"/>
        </w:rPr>
        <w:t>工程：</w:t>
      </w:r>
      <w:r>
        <w:rPr>
          <w:rFonts w:hint="eastAsia" w:ascii="华文中宋" w:hAnsi="华文中宋" w:eastAsia="华文中宋" w:cs="华文中宋"/>
          <w:b/>
          <w:sz w:val="24"/>
          <w:lang w:val="en-US" w:eastAsia="zh-CN"/>
        </w:rPr>
        <w:t>江西省</w:t>
      </w:r>
      <w:r>
        <w:rPr>
          <w:rFonts w:hint="eastAsia" w:ascii="华文中宋" w:hAnsi="华文中宋" w:eastAsia="华文中宋" w:cs="华文中宋"/>
          <w:b/>
          <w:bCs/>
          <w:sz w:val="24"/>
        </w:rPr>
        <w:t>新余市两江黑臭水体整治工程项目楼宇雨污采购项目</w:t>
      </w:r>
    </w:p>
    <w:p/>
    <w:tbl>
      <w:tblPr>
        <w:tblStyle w:val="14"/>
        <w:tblW w:w="16127" w:type="dxa"/>
        <w:tblInd w:w="-64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8"/>
        <w:gridCol w:w="1277"/>
        <w:gridCol w:w="1112"/>
        <w:gridCol w:w="810"/>
        <w:gridCol w:w="1350"/>
        <w:gridCol w:w="1155"/>
        <w:gridCol w:w="1080"/>
        <w:gridCol w:w="1155"/>
        <w:gridCol w:w="1380"/>
        <w:gridCol w:w="1605"/>
        <w:gridCol w:w="1260"/>
        <w:gridCol w:w="1410"/>
        <w:gridCol w:w="17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8" w:hRule="atLeast"/>
        </w:trPr>
        <w:tc>
          <w:tcPr>
            <w:tcW w:w="748" w:type="dxa"/>
            <w:noWrap/>
            <w:vAlign w:val="center"/>
          </w:tcPr>
          <w:p>
            <w:pPr>
              <w:jc w:val="center"/>
              <w:rPr>
                <w:rFonts w:ascii="宋体" w:hAnsi="宋体"/>
                <w:szCs w:val="21"/>
              </w:rPr>
            </w:pPr>
            <w:r>
              <w:rPr>
                <w:rFonts w:hint="eastAsia" w:ascii="华文中宋" w:hAnsi="华文中宋" w:eastAsia="华文中宋" w:cs="华文中宋"/>
                <w:szCs w:val="21"/>
              </w:rPr>
              <w:t>序号</w:t>
            </w:r>
          </w:p>
        </w:tc>
        <w:tc>
          <w:tcPr>
            <w:tcW w:w="1277" w:type="dxa"/>
            <w:noWrap/>
            <w:vAlign w:val="center"/>
          </w:tcPr>
          <w:p>
            <w:pPr>
              <w:jc w:val="center"/>
              <w:rPr>
                <w:rFonts w:ascii="宋体" w:hAnsi="宋体"/>
                <w:szCs w:val="21"/>
              </w:rPr>
            </w:pPr>
            <w:r>
              <w:rPr>
                <w:rFonts w:hint="eastAsia" w:ascii="华文中宋" w:hAnsi="华文中宋" w:eastAsia="华文中宋" w:cs="华文中宋"/>
                <w:szCs w:val="21"/>
              </w:rPr>
              <w:t>材料名称</w:t>
            </w:r>
          </w:p>
        </w:tc>
        <w:tc>
          <w:tcPr>
            <w:tcW w:w="1112" w:type="dxa"/>
            <w:noWrap/>
            <w:vAlign w:val="center"/>
          </w:tcPr>
          <w:p>
            <w:pPr>
              <w:jc w:val="center"/>
              <w:rPr>
                <w:rFonts w:ascii="宋体" w:hAnsi="宋体"/>
                <w:szCs w:val="21"/>
              </w:rPr>
            </w:pPr>
            <w:r>
              <w:rPr>
                <w:rFonts w:hint="eastAsia" w:ascii="华文中宋" w:hAnsi="华文中宋" w:eastAsia="华文中宋" w:cs="华文中宋"/>
                <w:szCs w:val="21"/>
              </w:rPr>
              <w:t>材料标准</w:t>
            </w:r>
          </w:p>
        </w:tc>
        <w:tc>
          <w:tcPr>
            <w:tcW w:w="810" w:type="dxa"/>
            <w:noWrap/>
            <w:vAlign w:val="center"/>
          </w:tcPr>
          <w:p>
            <w:pPr>
              <w:jc w:val="center"/>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材质</w:t>
            </w:r>
          </w:p>
        </w:tc>
        <w:tc>
          <w:tcPr>
            <w:tcW w:w="1350" w:type="dxa"/>
            <w:noWrap/>
            <w:vAlign w:val="center"/>
          </w:tcPr>
          <w:p>
            <w:pPr>
              <w:jc w:val="center"/>
              <w:rPr>
                <w:rFonts w:ascii="宋体" w:hAnsi="宋体"/>
                <w:szCs w:val="21"/>
              </w:rPr>
            </w:pPr>
            <w:r>
              <w:rPr>
                <w:rFonts w:hint="eastAsia" w:ascii="华文中宋" w:hAnsi="华文中宋" w:eastAsia="华文中宋" w:cs="华文中宋"/>
                <w:szCs w:val="21"/>
              </w:rPr>
              <w:t>生产厂家</w:t>
            </w:r>
          </w:p>
        </w:tc>
        <w:tc>
          <w:tcPr>
            <w:tcW w:w="1155" w:type="dxa"/>
            <w:noWrap/>
            <w:vAlign w:val="center"/>
          </w:tcPr>
          <w:p>
            <w:pPr>
              <w:jc w:val="center"/>
              <w:rPr>
                <w:rFonts w:ascii="宋体" w:hAnsi="宋体"/>
                <w:szCs w:val="21"/>
              </w:rPr>
            </w:pPr>
            <w:r>
              <w:rPr>
                <w:rFonts w:hint="eastAsia" w:ascii="华文中宋" w:hAnsi="华文中宋" w:eastAsia="华文中宋" w:cs="华文中宋"/>
                <w:szCs w:val="21"/>
              </w:rPr>
              <w:t>品牌</w:t>
            </w:r>
          </w:p>
        </w:tc>
        <w:tc>
          <w:tcPr>
            <w:tcW w:w="1080" w:type="dxa"/>
            <w:noWrap/>
            <w:vAlign w:val="center"/>
          </w:tcPr>
          <w:p>
            <w:pPr>
              <w:jc w:val="center"/>
              <w:rPr>
                <w:rFonts w:ascii="宋体" w:hAnsi="宋体"/>
                <w:szCs w:val="21"/>
              </w:rPr>
            </w:pPr>
            <w:r>
              <w:rPr>
                <w:rFonts w:hint="eastAsia" w:ascii="华文中宋" w:hAnsi="华文中宋" w:eastAsia="华文中宋" w:cs="华文中宋"/>
                <w:szCs w:val="21"/>
              </w:rPr>
              <w:t>产地</w:t>
            </w:r>
          </w:p>
        </w:tc>
        <w:tc>
          <w:tcPr>
            <w:tcW w:w="1155" w:type="dxa"/>
            <w:noWrap/>
            <w:vAlign w:val="center"/>
          </w:tcPr>
          <w:p>
            <w:pPr>
              <w:jc w:val="center"/>
              <w:rPr>
                <w:rFonts w:ascii="宋体" w:hAnsi="宋体"/>
                <w:szCs w:val="21"/>
              </w:rPr>
            </w:pPr>
            <w:r>
              <w:rPr>
                <w:rFonts w:hint="eastAsia" w:ascii="华文中宋" w:hAnsi="华文中宋" w:eastAsia="华文中宋" w:cs="华文中宋"/>
                <w:szCs w:val="21"/>
              </w:rPr>
              <w:t>规格</w:t>
            </w:r>
          </w:p>
          <w:p>
            <w:pPr>
              <w:jc w:val="center"/>
              <w:rPr>
                <w:rFonts w:ascii="宋体" w:hAnsi="宋体"/>
                <w:szCs w:val="21"/>
              </w:rPr>
            </w:pPr>
            <w:r>
              <w:rPr>
                <w:rFonts w:hint="eastAsia" w:ascii="华文中宋" w:hAnsi="华文中宋" w:eastAsia="华文中宋" w:cs="华文中宋"/>
                <w:szCs w:val="21"/>
              </w:rPr>
              <w:t>型号</w:t>
            </w:r>
          </w:p>
        </w:tc>
        <w:tc>
          <w:tcPr>
            <w:tcW w:w="1380" w:type="dxa"/>
            <w:noWrap/>
            <w:vAlign w:val="center"/>
          </w:tcPr>
          <w:p>
            <w:pPr>
              <w:jc w:val="center"/>
              <w:rPr>
                <w:rFonts w:ascii="宋体" w:hAnsi="宋体"/>
                <w:szCs w:val="21"/>
              </w:rPr>
            </w:pPr>
            <w:r>
              <w:rPr>
                <w:rFonts w:hint="eastAsia" w:ascii="华文中宋" w:hAnsi="华文中宋" w:eastAsia="华文中宋" w:cs="华文中宋"/>
                <w:szCs w:val="21"/>
              </w:rPr>
              <w:t>招标量</w:t>
            </w:r>
          </w:p>
          <w:p>
            <w:pPr>
              <w:jc w:val="center"/>
              <w:rPr>
                <w:rFonts w:ascii="宋体" w:hAnsi="宋体"/>
                <w:szCs w:val="21"/>
              </w:rPr>
            </w:pPr>
            <w:r>
              <w:rPr>
                <w:rFonts w:hint="eastAsia" w:ascii="华文中宋" w:hAnsi="华文中宋" w:eastAsia="华文中宋" w:cs="华文中宋"/>
                <w:szCs w:val="21"/>
              </w:rPr>
              <w:t>(暂估值）M</w:t>
            </w:r>
          </w:p>
        </w:tc>
        <w:tc>
          <w:tcPr>
            <w:tcW w:w="1605" w:type="dxa"/>
            <w:noWrap/>
            <w:vAlign w:val="center"/>
          </w:tcPr>
          <w:p>
            <w:pPr>
              <w:jc w:val="center"/>
              <w:rPr>
                <w:rFonts w:ascii="宋体" w:hAnsi="宋体"/>
                <w:szCs w:val="21"/>
              </w:rPr>
            </w:pPr>
            <w:r>
              <w:rPr>
                <w:rFonts w:hint="eastAsia" w:ascii="华文中宋" w:hAnsi="华文中宋" w:eastAsia="华文中宋" w:cs="华文中宋"/>
                <w:szCs w:val="21"/>
              </w:rPr>
              <w:t>含税单价</w:t>
            </w:r>
          </w:p>
          <w:p>
            <w:pPr>
              <w:jc w:val="center"/>
              <w:rPr>
                <w:rFonts w:ascii="宋体" w:hAnsi="宋体"/>
                <w:szCs w:val="21"/>
              </w:rPr>
            </w:pPr>
            <w:r>
              <w:rPr>
                <w:rFonts w:hint="eastAsia" w:ascii="华文中宋" w:hAnsi="华文中宋" w:eastAsia="华文中宋" w:cs="华文中宋"/>
                <w:szCs w:val="21"/>
              </w:rPr>
              <w:t>（元/个)</w:t>
            </w:r>
          </w:p>
        </w:tc>
        <w:tc>
          <w:tcPr>
            <w:tcW w:w="1260" w:type="dxa"/>
            <w:noWrap/>
            <w:vAlign w:val="center"/>
          </w:tcPr>
          <w:p>
            <w:pPr>
              <w:jc w:val="center"/>
              <w:rPr>
                <w:rFonts w:ascii="宋体" w:hAnsi="宋体"/>
                <w:szCs w:val="21"/>
              </w:rPr>
            </w:pPr>
            <w:r>
              <w:rPr>
                <w:rFonts w:hint="eastAsia" w:ascii="华文中宋" w:hAnsi="华文中宋" w:eastAsia="华文中宋" w:cs="华文中宋"/>
                <w:szCs w:val="21"/>
              </w:rPr>
              <w:t>含税合价</w:t>
            </w:r>
          </w:p>
          <w:p>
            <w:pPr>
              <w:jc w:val="center"/>
              <w:rPr>
                <w:rFonts w:ascii="宋体" w:hAnsi="宋体"/>
                <w:szCs w:val="21"/>
              </w:rPr>
            </w:pPr>
            <w:r>
              <w:rPr>
                <w:rFonts w:hint="eastAsia" w:ascii="华文中宋" w:hAnsi="华文中宋" w:eastAsia="华文中宋" w:cs="华文中宋"/>
                <w:szCs w:val="21"/>
              </w:rPr>
              <w:t>（元）</w:t>
            </w:r>
          </w:p>
        </w:tc>
        <w:tc>
          <w:tcPr>
            <w:tcW w:w="1410" w:type="dxa"/>
            <w:noWrap/>
            <w:vAlign w:val="center"/>
          </w:tcPr>
          <w:p>
            <w:pPr>
              <w:jc w:val="center"/>
              <w:rPr>
                <w:rFonts w:ascii="宋体" w:hAnsi="宋体"/>
                <w:szCs w:val="21"/>
              </w:rPr>
            </w:pPr>
            <w:r>
              <w:rPr>
                <w:rFonts w:hint="eastAsia" w:ascii="华文中宋" w:hAnsi="华文中宋" w:eastAsia="华文中宋" w:cs="华文中宋"/>
                <w:szCs w:val="21"/>
              </w:rPr>
              <w:t>其中税金</w:t>
            </w:r>
          </w:p>
          <w:p>
            <w:pPr>
              <w:jc w:val="center"/>
              <w:rPr>
                <w:rFonts w:ascii="宋体" w:hAnsi="宋体"/>
                <w:szCs w:val="21"/>
              </w:rPr>
            </w:pPr>
            <w:r>
              <w:rPr>
                <w:rFonts w:hint="eastAsia" w:ascii="华文中宋" w:hAnsi="华文中宋" w:eastAsia="华文中宋" w:cs="华文中宋"/>
                <w:szCs w:val="21"/>
              </w:rPr>
              <w:t>（元/个)</w:t>
            </w:r>
          </w:p>
        </w:tc>
        <w:tc>
          <w:tcPr>
            <w:tcW w:w="1785" w:type="dxa"/>
            <w:noWrap/>
            <w:vAlign w:val="center"/>
          </w:tcPr>
          <w:p>
            <w:pPr>
              <w:jc w:val="center"/>
              <w:rPr>
                <w:rFonts w:ascii="宋体" w:hAnsi="宋体"/>
                <w:szCs w:val="21"/>
              </w:rPr>
            </w:pPr>
            <w:r>
              <w:rPr>
                <w:rFonts w:hint="eastAsia" w:ascii="华文中宋" w:hAnsi="华文中宋" w:eastAsia="华文中宋" w:cs="华文中宋"/>
                <w:szCs w:val="21"/>
              </w:rPr>
              <w:t>质保期（年）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exact"/>
        </w:trPr>
        <w:tc>
          <w:tcPr>
            <w:tcW w:w="748" w:type="dxa"/>
            <w:noWrap/>
            <w:vAlign w:val="center"/>
          </w:tcPr>
          <w:p>
            <w:pPr>
              <w:jc w:val="center"/>
              <w:rPr>
                <w:rFonts w:ascii="宋体" w:hAnsi="宋体"/>
                <w:sz w:val="24"/>
              </w:rPr>
            </w:pPr>
            <w:r>
              <w:rPr>
                <w:rFonts w:hint="eastAsia" w:ascii="华文中宋" w:hAnsi="华文中宋" w:eastAsia="华文中宋" w:cs="华文中宋"/>
                <w:sz w:val="24"/>
              </w:rPr>
              <w:t>1</w:t>
            </w:r>
          </w:p>
        </w:tc>
        <w:tc>
          <w:tcPr>
            <w:tcW w:w="1277" w:type="dxa"/>
            <w:noWrap/>
            <w:vAlign w:val="center"/>
          </w:tcPr>
          <w:p>
            <w:pPr>
              <w:jc w:val="center"/>
              <w:rPr>
                <w:rFonts w:ascii="宋体" w:hAnsi="宋体"/>
                <w:sz w:val="24"/>
              </w:rPr>
            </w:pPr>
            <w:r>
              <w:rPr>
                <w:rFonts w:hint="eastAsia" w:ascii="宋体" w:hAnsi="宋体"/>
                <w:sz w:val="21"/>
                <w:szCs w:val="21"/>
              </w:rPr>
              <w:t>楼宇雨污分流器</w:t>
            </w:r>
          </w:p>
        </w:tc>
        <w:tc>
          <w:tcPr>
            <w:tcW w:w="1112" w:type="dxa"/>
            <w:noWrap/>
            <w:vAlign w:val="center"/>
          </w:tcPr>
          <w:p>
            <w:pPr>
              <w:jc w:val="center"/>
              <w:rPr>
                <w:rFonts w:ascii="宋体" w:hAnsi="宋体"/>
                <w:sz w:val="24"/>
              </w:rPr>
            </w:pPr>
          </w:p>
        </w:tc>
        <w:tc>
          <w:tcPr>
            <w:tcW w:w="810" w:type="dxa"/>
            <w:noWrap/>
            <w:vAlign w:val="center"/>
          </w:tcPr>
          <w:p>
            <w:pPr>
              <w:jc w:val="center"/>
              <w:rPr>
                <w:rFonts w:ascii="宋体" w:hAnsi="宋体"/>
                <w:sz w:val="24"/>
              </w:rPr>
            </w:pPr>
          </w:p>
        </w:tc>
        <w:tc>
          <w:tcPr>
            <w:tcW w:w="1350" w:type="dxa"/>
            <w:noWrap/>
            <w:vAlign w:val="center"/>
          </w:tcPr>
          <w:p>
            <w:pPr>
              <w:jc w:val="center"/>
              <w:rPr>
                <w:rFonts w:ascii="宋体" w:hAnsi="宋体"/>
                <w:sz w:val="24"/>
              </w:rPr>
            </w:pPr>
          </w:p>
        </w:tc>
        <w:tc>
          <w:tcPr>
            <w:tcW w:w="1155" w:type="dxa"/>
            <w:noWrap/>
            <w:vAlign w:val="center"/>
          </w:tcPr>
          <w:p>
            <w:pPr>
              <w:jc w:val="center"/>
              <w:rPr>
                <w:rFonts w:ascii="宋体" w:hAnsi="宋体"/>
                <w:sz w:val="24"/>
              </w:rPr>
            </w:pPr>
          </w:p>
        </w:tc>
        <w:tc>
          <w:tcPr>
            <w:tcW w:w="1080" w:type="dxa"/>
            <w:noWrap/>
            <w:vAlign w:val="center"/>
          </w:tcPr>
          <w:p>
            <w:pPr>
              <w:rPr>
                <w:rFonts w:ascii="宋体" w:hAnsi="宋体"/>
                <w:sz w:val="24"/>
              </w:rPr>
            </w:pPr>
          </w:p>
        </w:tc>
        <w:tc>
          <w:tcPr>
            <w:tcW w:w="1155" w:type="dxa"/>
            <w:noWrap/>
            <w:vAlign w:val="center"/>
          </w:tcPr>
          <w:p>
            <w:pPr>
              <w:jc w:val="center"/>
              <w:rPr>
                <w:rFonts w:ascii="宋体" w:hAnsi="宋体"/>
                <w:sz w:val="24"/>
              </w:rPr>
            </w:pPr>
            <w:r>
              <w:rPr>
                <w:rFonts w:hint="eastAsia" w:ascii="宋体" w:hAnsi="宋体"/>
                <w:sz w:val="24"/>
              </w:rPr>
              <w:t>DN110</w:t>
            </w:r>
          </w:p>
        </w:tc>
        <w:tc>
          <w:tcPr>
            <w:tcW w:w="1380" w:type="dxa"/>
            <w:noWrap/>
            <w:vAlign w:val="center"/>
          </w:tcPr>
          <w:p>
            <w:pPr>
              <w:jc w:val="center"/>
              <w:rPr>
                <w:rFonts w:ascii="宋体" w:hAnsi="宋体"/>
                <w:sz w:val="24"/>
              </w:rPr>
            </w:pPr>
            <w:r>
              <w:rPr>
                <w:rFonts w:hint="eastAsia" w:ascii="宋体" w:hAnsi="宋体"/>
                <w:sz w:val="24"/>
              </w:rPr>
              <w:t>7000</w:t>
            </w:r>
          </w:p>
        </w:tc>
        <w:tc>
          <w:tcPr>
            <w:tcW w:w="1605" w:type="dxa"/>
            <w:noWrap/>
            <w:vAlign w:val="center"/>
          </w:tcPr>
          <w:p>
            <w:pPr>
              <w:rPr>
                <w:rFonts w:ascii="宋体" w:hAnsi="宋体"/>
                <w:sz w:val="24"/>
              </w:rPr>
            </w:pPr>
          </w:p>
        </w:tc>
        <w:tc>
          <w:tcPr>
            <w:tcW w:w="1260" w:type="dxa"/>
            <w:noWrap/>
            <w:vAlign w:val="center"/>
          </w:tcPr>
          <w:p>
            <w:pPr>
              <w:rPr>
                <w:rFonts w:ascii="宋体" w:hAnsi="宋体"/>
                <w:sz w:val="24"/>
              </w:rPr>
            </w:pPr>
          </w:p>
        </w:tc>
        <w:tc>
          <w:tcPr>
            <w:tcW w:w="1410" w:type="dxa"/>
            <w:noWrap/>
            <w:vAlign w:val="center"/>
          </w:tcPr>
          <w:p>
            <w:pPr>
              <w:jc w:val="center"/>
              <w:rPr>
                <w:rFonts w:ascii="宋体" w:hAnsi="宋体"/>
                <w:sz w:val="24"/>
              </w:rPr>
            </w:pPr>
          </w:p>
        </w:tc>
        <w:tc>
          <w:tcPr>
            <w:tcW w:w="1785" w:type="dxa"/>
            <w:noWrap/>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748" w:type="dxa"/>
            <w:noWrap/>
            <w:vAlign w:val="center"/>
          </w:tcPr>
          <w:p>
            <w:pPr>
              <w:jc w:val="center"/>
              <w:rPr>
                <w:rFonts w:ascii="宋体" w:hAnsi="宋体"/>
                <w:sz w:val="24"/>
              </w:rPr>
            </w:pPr>
            <w:r>
              <w:rPr>
                <w:rFonts w:hint="eastAsia" w:ascii="华文中宋" w:hAnsi="华文中宋" w:eastAsia="华文中宋" w:cs="华文中宋"/>
                <w:sz w:val="24"/>
              </w:rPr>
              <w:t>2</w:t>
            </w:r>
          </w:p>
        </w:tc>
        <w:tc>
          <w:tcPr>
            <w:tcW w:w="1277" w:type="dxa"/>
            <w:noWrap/>
            <w:vAlign w:val="center"/>
          </w:tcPr>
          <w:p>
            <w:pPr>
              <w:jc w:val="center"/>
              <w:rPr>
                <w:rFonts w:ascii="宋体" w:hAnsi="宋体"/>
                <w:sz w:val="24"/>
              </w:rPr>
            </w:pPr>
          </w:p>
        </w:tc>
        <w:tc>
          <w:tcPr>
            <w:tcW w:w="1112" w:type="dxa"/>
            <w:noWrap/>
            <w:vAlign w:val="center"/>
          </w:tcPr>
          <w:p>
            <w:pPr>
              <w:jc w:val="center"/>
              <w:rPr>
                <w:rFonts w:ascii="宋体" w:hAnsi="宋体"/>
                <w:sz w:val="24"/>
              </w:rPr>
            </w:pPr>
          </w:p>
        </w:tc>
        <w:tc>
          <w:tcPr>
            <w:tcW w:w="810" w:type="dxa"/>
            <w:noWrap/>
            <w:vAlign w:val="center"/>
          </w:tcPr>
          <w:p>
            <w:pPr>
              <w:jc w:val="center"/>
              <w:rPr>
                <w:rFonts w:ascii="宋体" w:hAnsi="宋体"/>
                <w:sz w:val="24"/>
              </w:rPr>
            </w:pPr>
          </w:p>
        </w:tc>
        <w:tc>
          <w:tcPr>
            <w:tcW w:w="1350" w:type="dxa"/>
            <w:noWrap/>
            <w:vAlign w:val="center"/>
          </w:tcPr>
          <w:p>
            <w:pPr>
              <w:jc w:val="center"/>
              <w:rPr>
                <w:rFonts w:ascii="宋体" w:hAnsi="宋体"/>
                <w:sz w:val="24"/>
              </w:rPr>
            </w:pPr>
          </w:p>
        </w:tc>
        <w:tc>
          <w:tcPr>
            <w:tcW w:w="1155" w:type="dxa"/>
            <w:noWrap/>
            <w:vAlign w:val="center"/>
          </w:tcPr>
          <w:p>
            <w:pPr>
              <w:jc w:val="center"/>
              <w:rPr>
                <w:rFonts w:ascii="宋体" w:hAnsi="宋体"/>
                <w:sz w:val="24"/>
              </w:rPr>
            </w:pPr>
          </w:p>
        </w:tc>
        <w:tc>
          <w:tcPr>
            <w:tcW w:w="1080" w:type="dxa"/>
            <w:noWrap/>
            <w:vAlign w:val="center"/>
          </w:tcPr>
          <w:p>
            <w:pPr>
              <w:rPr>
                <w:rFonts w:ascii="宋体" w:hAnsi="宋体"/>
                <w:sz w:val="24"/>
              </w:rPr>
            </w:pPr>
          </w:p>
        </w:tc>
        <w:tc>
          <w:tcPr>
            <w:tcW w:w="1155" w:type="dxa"/>
            <w:noWrap/>
            <w:vAlign w:val="center"/>
          </w:tcPr>
          <w:p>
            <w:pPr>
              <w:jc w:val="center"/>
              <w:rPr>
                <w:rFonts w:ascii="宋体" w:hAnsi="宋体" w:cs="宋体"/>
                <w:sz w:val="24"/>
              </w:rPr>
            </w:pPr>
          </w:p>
        </w:tc>
        <w:tc>
          <w:tcPr>
            <w:tcW w:w="1380" w:type="dxa"/>
            <w:noWrap/>
            <w:vAlign w:val="center"/>
          </w:tcPr>
          <w:p>
            <w:pPr>
              <w:jc w:val="center"/>
              <w:rPr>
                <w:rFonts w:ascii="宋体" w:hAnsi="宋体"/>
                <w:sz w:val="24"/>
              </w:rPr>
            </w:pPr>
          </w:p>
        </w:tc>
        <w:tc>
          <w:tcPr>
            <w:tcW w:w="1605" w:type="dxa"/>
            <w:noWrap/>
            <w:vAlign w:val="center"/>
          </w:tcPr>
          <w:p>
            <w:pPr>
              <w:rPr>
                <w:rFonts w:ascii="宋体" w:hAnsi="宋体"/>
                <w:sz w:val="24"/>
              </w:rPr>
            </w:pPr>
          </w:p>
        </w:tc>
        <w:tc>
          <w:tcPr>
            <w:tcW w:w="1260" w:type="dxa"/>
            <w:noWrap/>
            <w:vAlign w:val="center"/>
          </w:tcPr>
          <w:p>
            <w:pPr>
              <w:rPr>
                <w:rFonts w:ascii="宋体" w:hAnsi="宋体"/>
                <w:sz w:val="24"/>
              </w:rPr>
            </w:pPr>
          </w:p>
        </w:tc>
        <w:tc>
          <w:tcPr>
            <w:tcW w:w="1410" w:type="dxa"/>
            <w:noWrap/>
            <w:vAlign w:val="center"/>
          </w:tcPr>
          <w:p>
            <w:pPr>
              <w:jc w:val="center"/>
              <w:rPr>
                <w:rFonts w:ascii="宋体" w:hAnsi="宋体"/>
                <w:sz w:val="24"/>
              </w:rPr>
            </w:pPr>
          </w:p>
        </w:tc>
        <w:tc>
          <w:tcPr>
            <w:tcW w:w="1785" w:type="dxa"/>
            <w:noWrap/>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748" w:type="dxa"/>
            <w:noWrap/>
            <w:vAlign w:val="center"/>
          </w:tcPr>
          <w:p>
            <w:pPr>
              <w:jc w:val="center"/>
              <w:rPr>
                <w:rFonts w:ascii="宋体" w:hAnsi="宋体"/>
                <w:sz w:val="24"/>
              </w:rPr>
            </w:pPr>
            <w:r>
              <w:rPr>
                <w:rFonts w:hint="eastAsia" w:ascii="宋体" w:hAnsi="宋体"/>
                <w:sz w:val="24"/>
              </w:rPr>
              <w:t>...</w:t>
            </w:r>
          </w:p>
        </w:tc>
        <w:tc>
          <w:tcPr>
            <w:tcW w:w="1277" w:type="dxa"/>
            <w:noWrap/>
            <w:vAlign w:val="center"/>
          </w:tcPr>
          <w:p>
            <w:pPr>
              <w:jc w:val="center"/>
              <w:rPr>
                <w:rFonts w:ascii="宋体" w:hAnsi="宋体"/>
                <w:sz w:val="24"/>
              </w:rPr>
            </w:pPr>
          </w:p>
        </w:tc>
        <w:tc>
          <w:tcPr>
            <w:tcW w:w="1112" w:type="dxa"/>
            <w:noWrap/>
          </w:tcPr>
          <w:p>
            <w:pPr>
              <w:rPr>
                <w:rFonts w:ascii="宋体" w:hAnsi="宋体"/>
                <w:sz w:val="24"/>
              </w:rPr>
            </w:pPr>
          </w:p>
        </w:tc>
        <w:tc>
          <w:tcPr>
            <w:tcW w:w="810" w:type="dxa"/>
            <w:noWrap/>
          </w:tcPr>
          <w:p>
            <w:pPr>
              <w:rPr>
                <w:rFonts w:ascii="宋体" w:hAnsi="宋体"/>
                <w:sz w:val="24"/>
              </w:rPr>
            </w:pPr>
          </w:p>
        </w:tc>
        <w:tc>
          <w:tcPr>
            <w:tcW w:w="1350" w:type="dxa"/>
            <w:noWrap/>
          </w:tcPr>
          <w:p>
            <w:pPr>
              <w:rPr>
                <w:rFonts w:ascii="宋体" w:hAnsi="宋体"/>
                <w:sz w:val="24"/>
              </w:rPr>
            </w:pPr>
          </w:p>
        </w:tc>
        <w:tc>
          <w:tcPr>
            <w:tcW w:w="1155" w:type="dxa"/>
            <w:noWrap/>
            <w:vAlign w:val="center"/>
          </w:tcPr>
          <w:p>
            <w:pPr>
              <w:rPr>
                <w:rFonts w:ascii="宋体" w:hAnsi="宋体"/>
                <w:sz w:val="24"/>
              </w:rPr>
            </w:pPr>
          </w:p>
        </w:tc>
        <w:tc>
          <w:tcPr>
            <w:tcW w:w="1080" w:type="dxa"/>
            <w:noWrap/>
            <w:vAlign w:val="center"/>
          </w:tcPr>
          <w:p>
            <w:pPr>
              <w:rPr>
                <w:rFonts w:ascii="宋体" w:hAnsi="宋体"/>
                <w:sz w:val="24"/>
              </w:rPr>
            </w:pPr>
          </w:p>
        </w:tc>
        <w:tc>
          <w:tcPr>
            <w:tcW w:w="1155" w:type="dxa"/>
            <w:noWrap/>
            <w:vAlign w:val="center"/>
          </w:tcPr>
          <w:p>
            <w:pPr>
              <w:jc w:val="right"/>
              <w:rPr>
                <w:rFonts w:ascii="宋体" w:hAnsi="宋体"/>
                <w:sz w:val="24"/>
              </w:rPr>
            </w:pPr>
          </w:p>
        </w:tc>
        <w:tc>
          <w:tcPr>
            <w:tcW w:w="1380" w:type="dxa"/>
            <w:noWrap/>
            <w:vAlign w:val="center"/>
          </w:tcPr>
          <w:p>
            <w:pPr>
              <w:jc w:val="center"/>
              <w:rPr>
                <w:rFonts w:ascii="宋体" w:hAnsi="宋体"/>
                <w:sz w:val="24"/>
              </w:rPr>
            </w:pPr>
          </w:p>
        </w:tc>
        <w:tc>
          <w:tcPr>
            <w:tcW w:w="1605" w:type="dxa"/>
            <w:noWrap/>
            <w:vAlign w:val="center"/>
          </w:tcPr>
          <w:p>
            <w:pPr>
              <w:rPr>
                <w:rFonts w:ascii="宋体" w:hAnsi="宋体"/>
                <w:sz w:val="24"/>
              </w:rPr>
            </w:pPr>
          </w:p>
        </w:tc>
        <w:tc>
          <w:tcPr>
            <w:tcW w:w="1260" w:type="dxa"/>
            <w:noWrap/>
            <w:vAlign w:val="center"/>
          </w:tcPr>
          <w:p>
            <w:pPr>
              <w:rPr>
                <w:rFonts w:ascii="宋体" w:hAnsi="宋体"/>
                <w:sz w:val="24"/>
              </w:rPr>
            </w:pPr>
          </w:p>
        </w:tc>
        <w:tc>
          <w:tcPr>
            <w:tcW w:w="1410" w:type="dxa"/>
            <w:noWrap/>
            <w:vAlign w:val="center"/>
          </w:tcPr>
          <w:p>
            <w:pPr>
              <w:jc w:val="center"/>
              <w:rPr>
                <w:rFonts w:ascii="宋体" w:hAnsi="宋体"/>
                <w:sz w:val="24"/>
              </w:rPr>
            </w:pPr>
          </w:p>
        </w:tc>
        <w:tc>
          <w:tcPr>
            <w:tcW w:w="1785" w:type="dxa"/>
            <w:noWrap/>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748" w:type="dxa"/>
            <w:noWrap/>
            <w:vAlign w:val="center"/>
          </w:tcPr>
          <w:p>
            <w:pPr>
              <w:jc w:val="center"/>
              <w:rPr>
                <w:rFonts w:ascii="宋体" w:hAnsi="宋体"/>
                <w:b/>
                <w:bCs/>
                <w:sz w:val="24"/>
              </w:rPr>
            </w:pPr>
            <w:r>
              <w:rPr>
                <w:rFonts w:hint="eastAsia" w:ascii="华文中宋" w:hAnsi="华文中宋" w:eastAsia="华文中宋" w:cs="华文中宋"/>
                <w:b/>
                <w:bCs/>
                <w:sz w:val="24"/>
              </w:rPr>
              <w:t>(一)</w:t>
            </w:r>
          </w:p>
        </w:tc>
        <w:tc>
          <w:tcPr>
            <w:tcW w:w="1277" w:type="dxa"/>
            <w:noWrap/>
          </w:tcPr>
          <w:p>
            <w:pPr>
              <w:rPr>
                <w:rFonts w:ascii="宋体" w:hAnsi="宋体"/>
                <w:bCs/>
                <w:sz w:val="24"/>
              </w:rPr>
            </w:pPr>
          </w:p>
        </w:tc>
        <w:tc>
          <w:tcPr>
            <w:tcW w:w="1112" w:type="dxa"/>
            <w:noWrap/>
            <w:vAlign w:val="center"/>
          </w:tcPr>
          <w:p>
            <w:pPr>
              <w:rPr>
                <w:rFonts w:hint="eastAsia" w:ascii="华文中宋" w:hAnsi="华文中宋" w:eastAsia="华文中宋" w:cs="华文中宋"/>
                <w:bCs/>
                <w:sz w:val="24"/>
              </w:rPr>
            </w:pPr>
          </w:p>
        </w:tc>
        <w:tc>
          <w:tcPr>
            <w:tcW w:w="12990" w:type="dxa"/>
            <w:gridSpan w:val="10"/>
            <w:noWrap/>
            <w:vAlign w:val="center"/>
          </w:tcPr>
          <w:p>
            <w:pPr>
              <w:rPr>
                <w:rFonts w:ascii="宋体" w:hAnsi="宋体"/>
                <w:bCs/>
                <w:sz w:val="24"/>
              </w:rPr>
            </w:pPr>
            <w:r>
              <w:rPr>
                <w:rFonts w:hint="eastAsia" w:ascii="华文中宋" w:hAnsi="华文中宋" w:eastAsia="华文中宋" w:cs="华文中宋"/>
                <w:bCs/>
                <w:sz w:val="24"/>
              </w:rPr>
              <w:t>总价: ￥                   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748" w:type="dxa"/>
            <w:noWrap/>
            <w:vAlign w:val="center"/>
          </w:tcPr>
          <w:p>
            <w:pPr>
              <w:jc w:val="center"/>
              <w:rPr>
                <w:rFonts w:ascii="宋体" w:hAnsi="宋体"/>
                <w:b/>
                <w:bCs/>
                <w:sz w:val="24"/>
              </w:rPr>
            </w:pPr>
            <w:r>
              <w:rPr>
                <w:rFonts w:hint="eastAsia" w:ascii="华文中宋" w:hAnsi="华文中宋" w:eastAsia="华文中宋" w:cs="华文中宋"/>
                <w:b/>
                <w:bCs/>
                <w:sz w:val="24"/>
              </w:rPr>
              <w:t>(二)</w:t>
            </w:r>
          </w:p>
        </w:tc>
        <w:tc>
          <w:tcPr>
            <w:tcW w:w="1277" w:type="dxa"/>
            <w:noWrap/>
          </w:tcPr>
          <w:p>
            <w:pPr>
              <w:rPr>
                <w:rFonts w:ascii="宋体" w:hAnsi="宋体"/>
                <w:sz w:val="24"/>
              </w:rPr>
            </w:pPr>
          </w:p>
        </w:tc>
        <w:tc>
          <w:tcPr>
            <w:tcW w:w="1112" w:type="dxa"/>
            <w:noWrap/>
            <w:vAlign w:val="center"/>
          </w:tcPr>
          <w:p>
            <w:pPr>
              <w:rPr>
                <w:rFonts w:hint="eastAsia" w:ascii="华文中宋" w:hAnsi="华文中宋" w:eastAsia="华文中宋" w:cs="华文中宋"/>
                <w:szCs w:val="21"/>
              </w:rPr>
            </w:pPr>
          </w:p>
        </w:tc>
        <w:tc>
          <w:tcPr>
            <w:tcW w:w="12990" w:type="dxa"/>
            <w:gridSpan w:val="10"/>
            <w:noWrap/>
            <w:vAlign w:val="center"/>
          </w:tcPr>
          <w:p>
            <w:pPr>
              <w:rPr>
                <w:rFonts w:ascii="华文中宋" w:hAnsi="华文中宋" w:eastAsia="华文中宋" w:cs="华文中宋"/>
                <w:szCs w:val="21"/>
              </w:rPr>
            </w:pPr>
            <w:r>
              <w:rPr>
                <w:rFonts w:hint="eastAsia" w:ascii="华文中宋" w:hAnsi="华文中宋" w:eastAsia="华文中宋" w:cs="华文中宋"/>
                <w:szCs w:val="21"/>
              </w:rPr>
              <w:t>上述单价包括：材料出厂价、包装、运输、保险费、装</w:t>
            </w:r>
            <w:r>
              <w:rPr>
                <w:rFonts w:hint="eastAsia" w:ascii="华文中宋" w:hAnsi="华文中宋" w:eastAsia="华文中宋" w:cs="华文中宋"/>
                <w:szCs w:val="21"/>
                <w:lang w:val="en-US" w:eastAsia="zh-CN"/>
              </w:rPr>
              <w:t>车</w:t>
            </w:r>
            <w:r>
              <w:rPr>
                <w:rFonts w:hint="eastAsia" w:ascii="华文中宋" w:hAnsi="华文中宋" w:eastAsia="华文中宋" w:cs="华文中宋"/>
                <w:szCs w:val="21"/>
              </w:rPr>
              <w:t>费、机械费、损耗、现场见证取样检测费、管理费、利润、税金等货物运抵至招标方施工现场招标方指定地点所发生的一切费用，不因市场价格波动或招标人实际采购数量的增减而调整。</w:t>
            </w:r>
          </w:p>
          <w:p>
            <w:pPr>
              <w:rPr>
                <w:rFonts w:ascii="华文中宋" w:hAnsi="华文中宋" w:eastAsia="华文中宋" w:cs="华文中宋"/>
                <w:szCs w:val="21"/>
              </w:rPr>
            </w:pPr>
            <w:r>
              <w:rPr>
                <w:rFonts w:hint="eastAsia" w:ascii="华文中宋" w:hAnsi="华文中宋" w:eastAsia="华文中宋" w:cs="华文中宋"/>
                <w:szCs w:val="21"/>
              </w:rPr>
              <w:t>上述含税单价中含</w:t>
            </w:r>
            <w:r>
              <w:rPr>
                <w:rFonts w:hint="eastAsia" w:ascii="华文中宋" w:hAnsi="华文中宋" w:eastAsia="华文中宋" w:cs="华文中宋"/>
                <w:szCs w:val="21"/>
                <w:u w:val="single"/>
              </w:rPr>
              <w:t xml:space="preserve"> 13 </w:t>
            </w:r>
            <w:r>
              <w:rPr>
                <w:rFonts w:hint="eastAsia" w:ascii="华文中宋" w:hAnsi="华文中宋" w:eastAsia="华文中宋" w:cs="华文中宋"/>
                <w:szCs w:val="21"/>
              </w:rPr>
              <w:t>%增值税。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48" w:type="dxa"/>
            <w:noWrap/>
            <w:vAlign w:val="center"/>
          </w:tcPr>
          <w:p>
            <w:pPr>
              <w:jc w:val="center"/>
              <w:rPr>
                <w:rFonts w:ascii="宋体" w:hAnsi="宋体"/>
                <w:b/>
                <w:bCs/>
                <w:sz w:val="24"/>
              </w:rPr>
            </w:pPr>
            <w:r>
              <w:rPr>
                <w:rFonts w:hint="eastAsia" w:ascii="华文中宋" w:hAnsi="华文中宋" w:eastAsia="华文中宋" w:cs="华文中宋"/>
                <w:b/>
                <w:bCs/>
                <w:sz w:val="24"/>
              </w:rPr>
              <w:t>(三)</w:t>
            </w:r>
          </w:p>
        </w:tc>
        <w:tc>
          <w:tcPr>
            <w:tcW w:w="1277" w:type="dxa"/>
            <w:noWrap/>
          </w:tcPr>
          <w:p>
            <w:pPr>
              <w:rPr>
                <w:rFonts w:ascii="宋体" w:hAnsi="宋体"/>
                <w:bCs/>
                <w:sz w:val="24"/>
              </w:rPr>
            </w:pPr>
          </w:p>
        </w:tc>
        <w:tc>
          <w:tcPr>
            <w:tcW w:w="1112" w:type="dxa"/>
            <w:noWrap/>
            <w:vAlign w:val="center"/>
          </w:tcPr>
          <w:p>
            <w:pPr>
              <w:rPr>
                <w:rFonts w:hint="eastAsia" w:ascii="华文中宋" w:hAnsi="华文中宋" w:eastAsia="华文中宋" w:cs="华文中宋"/>
                <w:bCs/>
                <w:szCs w:val="21"/>
              </w:rPr>
            </w:pPr>
          </w:p>
        </w:tc>
        <w:tc>
          <w:tcPr>
            <w:tcW w:w="12990" w:type="dxa"/>
            <w:gridSpan w:val="10"/>
            <w:noWrap/>
            <w:vAlign w:val="center"/>
          </w:tcPr>
          <w:p>
            <w:pPr>
              <w:rPr>
                <w:rFonts w:ascii="宋体" w:hAnsi="宋体"/>
                <w:b/>
                <w:bCs/>
                <w:sz w:val="24"/>
              </w:rPr>
            </w:pPr>
            <w:r>
              <w:rPr>
                <w:rFonts w:hint="eastAsia" w:ascii="华文中宋" w:hAnsi="华文中宋" w:eastAsia="华文中宋" w:cs="华文中宋"/>
                <w:bCs/>
                <w:szCs w:val="21"/>
              </w:rPr>
              <w:t>上述材料供货到场时间：天（自招标人通知之日起）</w:t>
            </w:r>
          </w:p>
        </w:tc>
      </w:tr>
    </w:tbl>
    <w:p>
      <w:pPr>
        <w:spacing w:before="240" w:after="120"/>
        <w:rPr>
          <w:rFonts w:ascii="宋体" w:hAnsi="宋体" w:cs="宋体"/>
          <w:bCs/>
          <w:sz w:val="24"/>
        </w:rPr>
      </w:pPr>
      <w:r>
        <w:rPr>
          <w:rFonts w:hint="eastAsia"/>
        </w:rPr>
        <w:t>备注：</w:t>
      </w:r>
      <w:r>
        <w:rPr>
          <w:rFonts w:hint="eastAsia" w:ascii="华文中宋" w:hAnsi="华文中宋" w:eastAsia="华文中宋" w:cs="华文中宋"/>
          <w:bCs/>
          <w:sz w:val="24"/>
        </w:rPr>
        <w:t>请注意严格按此格式进行报价</w:t>
      </w:r>
    </w:p>
    <w:p>
      <w:pPr>
        <w:rPr>
          <w:rFonts w:ascii="宋体" w:hAnsi="宋体"/>
          <w:sz w:val="24"/>
        </w:rPr>
      </w:pPr>
      <w:r>
        <w:rPr>
          <w:rFonts w:hint="eastAsia" w:ascii="华文中宋" w:hAnsi="华文中宋" w:eastAsia="华文中宋" w:cs="华文中宋"/>
          <w:sz w:val="24"/>
        </w:rPr>
        <w:t>投标人（公章）：</w:t>
      </w:r>
    </w:p>
    <w:p>
      <w:pPr>
        <w:ind w:right="240"/>
        <w:jc w:val="center"/>
        <w:rPr>
          <w:rFonts w:ascii="华文中宋" w:hAnsi="华文中宋" w:eastAsia="华文中宋" w:cs="华文中宋"/>
          <w:sz w:val="24"/>
        </w:rPr>
      </w:pPr>
    </w:p>
    <w:p>
      <w:pPr>
        <w:ind w:right="240"/>
        <w:jc w:val="center"/>
        <w:rPr>
          <w:rFonts w:ascii="宋体" w:hAnsi="宋体"/>
          <w:sz w:val="24"/>
        </w:rPr>
      </w:pPr>
      <w:r>
        <w:rPr>
          <w:rFonts w:hint="eastAsia" w:ascii="华文中宋" w:hAnsi="华文中宋" w:eastAsia="华文中宋" w:cs="华文中宋"/>
          <w:sz w:val="24"/>
        </w:rPr>
        <w:t>法定代表人或授权人签字：</w:t>
      </w:r>
    </w:p>
    <w:p>
      <w:pPr>
        <w:ind w:right="480"/>
        <w:jc w:val="center"/>
        <w:rPr>
          <w:rFonts w:ascii="华文中宋" w:hAnsi="华文中宋" w:eastAsia="华文中宋" w:cs="华文中宋"/>
          <w:sz w:val="24"/>
        </w:rPr>
      </w:pPr>
    </w:p>
    <w:p>
      <w:pPr>
        <w:widowControl/>
        <w:ind w:right="480"/>
        <w:jc w:val="center"/>
        <w:rPr>
          <w:rFonts w:ascii="宋体" w:hAnsi="宋体" w:cs="宋体"/>
          <w:bCs/>
          <w:sz w:val="24"/>
        </w:rPr>
        <w:sectPr>
          <w:pgSz w:w="16838" w:h="11906" w:orient="landscape"/>
          <w:pgMar w:top="1800" w:right="1134" w:bottom="1066" w:left="1134" w:header="851" w:footer="992" w:gutter="0"/>
          <w:pgNumType w:fmt="numberInDash"/>
          <w:cols w:space="720" w:num="1"/>
          <w:titlePg/>
          <w:docGrid w:linePitch="286" w:charSpace="0"/>
        </w:sectPr>
      </w:pPr>
      <w:r>
        <w:rPr>
          <w:rFonts w:hint="eastAsia" w:ascii="华文中宋" w:hAnsi="华文中宋" w:eastAsia="华文中宋" w:cs="华文中宋"/>
          <w:sz w:val="24"/>
        </w:rPr>
        <w:t xml:space="preserve">投标日期：  </w:t>
      </w:r>
    </w:p>
    <w:p>
      <w:pPr>
        <w:widowControl/>
        <w:spacing w:line="360" w:lineRule="auto"/>
        <w:jc w:val="left"/>
        <w:rPr>
          <w:rFonts w:ascii="宋体" w:hAnsi="宋体" w:cs="宋体"/>
          <w:bCs/>
          <w:sz w:val="24"/>
        </w:rPr>
      </w:pPr>
    </w:p>
    <w:p>
      <w:pPr>
        <w:widowControl/>
        <w:spacing w:line="360" w:lineRule="auto"/>
        <w:jc w:val="left"/>
        <w:rPr>
          <w:rFonts w:ascii="宋体" w:hAnsi="宋体" w:cs="宋体"/>
          <w:bCs/>
          <w:sz w:val="24"/>
        </w:rPr>
      </w:pPr>
    </w:p>
    <w:p>
      <w:pPr>
        <w:widowControl/>
        <w:spacing w:line="360" w:lineRule="auto"/>
        <w:jc w:val="left"/>
        <w:rPr>
          <w:rFonts w:ascii="宋体" w:hAnsi="宋体" w:cs="宋体"/>
          <w:bCs/>
          <w:sz w:val="24"/>
        </w:rPr>
      </w:pPr>
    </w:p>
    <w:p>
      <w:pPr>
        <w:widowControl/>
        <w:spacing w:line="360" w:lineRule="auto"/>
        <w:ind w:firstLine="2168" w:firstLineChars="900"/>
        <w:jc w:val="left"/>
        <w:rPr>
          <w:rFonts w:ascii="宋体" w:hAnsi="宋体" w:cs="宋体"/>
          <w:b/>
          <w:sz w:val="24"/>
        </w:rPr>
      </w:pPr>
      <w:r>
        <w:rPr>
          <w:rFonts w:hint="eastAsia" w:ascii="宋体" w:hAnsi="宋体" w:cs="宋体"/>
          <w:b/>
          <w:sz w:val="24"/>
        </w:rPr>
        <w:t>二、法定代表人身份证明</w:t>
      </w:r>
    </w:p>
    <w:p>
      <w:pPr>
        <w:spacing w:line="440" w:lineRule="exact"/>
        <w:rPr>
          <w:rFonts w:ascii="宋体"/>
          <w:szCs w:val="21"/>
        </w:rPr>
      </w:pPr>
    </w:p>
    <w:p>
      <w:pPr>
        <w:topLinePunct/>
        <w:snapToGrid w:val="0"/>
        <w:spacing w:line="440" w:lineRule="exact"/>
        <w:rPr>
          <w:rFonts w:ascii="宋体" w:hAnsi="宋体"/>
          <w:bCs/>
          <w:szCs w:val="21"/>
          <w:u w:val="single"/>
        </w:rPr>
      </w:pPr>
      <w:r>
        <w:rPr>
          <w:rFonts w:hint="eastAsia" w:ascii="宋体" w:hAnsi="宋体"/>
          <w:bCs/>
          <w:szCs w:val="21"/>
        </w:rPr>
        <w:t>投标人名称：</w:t>
      </w:r>
    </w:p>
    <w:p>
      <w:pPr>
        <w:topLinePunct/>
        <w:snapToGrid w:val="0"/>
        <w:spacing w:line="440" w:lineRule="exact"/>
        <w:rPr>
          <w:rFonts w:ascii="宋体"/>
          <w:bCs/>
          <w:szCs w:val="21"/>
        </w:rPr>
      </w:pPr>
      <w:r>
        <w:rPr>
          <w:rFonts w:hint="eastAsia" w:ascii="宋体" w:hAnsi="宋体"/>
          <w:bCs/>
          <w:szCs w:val="21"/>
        </w:rPr>
        <w:t>单位性质：</w:t>
      </w:r>
    </w:p>
    <w:p>
      <w:pPr>
        <w:topLinePunct/>
        <w:snapToGrid w:val="0"/>
        <w:spacing w:line="440" w:lineRule="exact"/>
        <w:rPr>
          <w:rFonts w:ascii="宋体"/>
          <w:bCs/>
          <w:szCs w:val="21"/>
        </w:rPr>
      </w:pPr>
      <w:r>
        <w:rPr>
          <w:rFonts w:hint="eastAsia" w:ascii="宋体" w:hAnsi="宋体"/>
          <w:bCs/>
          <w:szCs w:val="21"/>
        </w:rPr>
        <w:t>成立时间：年月日</w:t>
      </w:r>
    </w:p>
    <w:p>
      <w:pPr>
        <w:topLinePunct/>
        <w:snapToGrid w:val="0"/>
        <w:spacing w:line="440" w:lineRule="exact"/>
        <w:rPr>
          <w:rFonts w:ascii="宋体"/>
          <w:bCs/>
          <w:szCs w:val="21"/>
        </w:rPr>
      </w:pPr>
      <w:r>
        <w:rPr>
          <w:rFonts w:hint="eastAsia" w:ascii="宋体" w:hAnsi="宋体"/>
          <w:bCs/>
          <w:szCs w:val="21"/>
        </w:rPr>
        <w:t>经营期限：</w:t>
      </w:r>
    </w:p>
    <w:p>
      <w:pPr>
        <w:topLinePunct/>
        <w:snapToGrid w:val="0"/>
        <w:spacing w:line="440" w:lineRule="exact"/>
        <w:rPr>
          <w:rFonts w:ascii="宋体"/>
          <w:bCs/>
          <w:szCs w:val="21"/>
          <w:u w:val="single"/>
        </w:rPr>
      </w:pPr>
      <w:r>
        <w:rPr>
          <w:rFonts w:hint="eastAsia" w:ascii="宋体" w:hAnsi="宋体"/>
          <w:bCs/>
          <w:szCs w:val="21"/>
        </w:rPr>
        <w:t>姓名：性别：年龄：职务：</w:t>
      </w:r>
    </w:p>
    <w:p>
      <w:pPr>
        <w:topLinePunct/>
        <w:snapToGrid w:val="0"/>
        <w:spacing w:line="440" w:lineRule="exact"/>
        <w:rPr>
          <w:rFonts w:ascii="宋体"/>
          <w:bCs/>
          <w:szCs w:val="21"/>
        </w:rPr>
      </w:pPr>
      <w:r>
        <w:rPr>
          <w:rFonts w:hint="eastAsia" w:ascii="宋体" w:hAnsi="宋体"/>
          <w:bCs/>
          <w:szCs w:val="21"/>
        </w:rPr>
        <w:t>系（投标人名称）的法定代表人。</w:t>
      </w:r>
    </w:p>
    <w:p>
      <w:pPr>
        <w:topLinePunct/>
        <w:snapToGrid w:val="0"/>
        <w:spacing w:line="440" w:lineRule="exact"/>
        <w:ind w:firstLine="420" w:firstLineChars="200"/>
        <w:rPr>
          <w:rFonts w:ascii="宋体"/>
          <w:bCs/>
          <w:szCs w:val="21"/>
        </w:rPr>
      </w:pPr>
      <w:r>
        <w:rPr>
          <w:rFonts w:hint="eastAsia" w:ascii="宋体" w:hAnsi="宋体"/>
          <w:bCs/>
          <w:szCs w:val="21"/>
        </w:rPr>
        <w:t>特此证明。</w:t>
      </w:r>
    </w:p>
    <w:p>
      <w:pPr>
        <w:topLinePunct/>
        <w:snapToGrid w:val="0"/>
        <w:spacing w:line="440" w:lineRule="exact"/>
        <w:ind w:firstLine="420" w:firstLineChars="200"/>
        <w:rPr>
          <w:rFonts w:ascii="宋体"/>
          <w:bCs/>
          <w:szCs w:val="21"/>
        </w:rPr>
      </w:pPr>
    </w:p>
    <w:p>
      <w:pPr>
        <w:topLinePunct/>
        <w:snapToGrid w:val="0"/>
        <w:spacing w:line="440" w:lineRule="exact"/>
        <w:rPr>
          <w:rFonts w:ascii="宋体"/>
        </w:rPr>
      </w:pPr>
      <w:r>
        <w:rPr>
          <w:rFonts w:hint="eastAsia" w:ascii="宋体" w:hAnsi="宋体"/>
        </w:rPr>
        <w:t>附：法定代表人身份证复印件</w:t>
      </w:r>
    </w:p>
    <w:p>
      <w:pPr>
        <w:spacing w:line="500" w:lineRule="exact"/>
        <w:rPr>
          <w:rFonts w:ascii="宋体"/>
          <w:szCs w:val="21"/>
        </w:rPr>
      </w:pPr>
      <w:r>
        <w:pict>
          <v:shape id="_x0000_s1026" o:spid="_x0000_s1026" o:spt="176" type="#_x0000_t176" style="position:absolute;left:0pt;margin-left:-51.35pt;margin-top:18.8pt;height:150.25pt;width:238.1pt;z-index:251662336;mso-width-relative:page;mso-height-relative:page;" coordsize="21600,21600" o:gfxdata="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LEBrdkAAAALAQAADwAAAAAAAAABACAAAAAiAAAAZHJzL2Rvd25yZXYueG1sUEsB&#10;AhQAFAAAAAgAh07iQCANTPAtAgAAUgQAAA4AAAAAAAAAAQAgAAAAKAEAAGRycy9lMm9Eb2MueG1s&#10;UEsFBgAAAAAGAAYAWQEAAMcFAAAAAA==&#10;">
            <v:path/>
            <v:fill focussize="0,0"/>
            <v:stroke joinstyle="miter"/>
            <v:imagedata o:title=""/>
            <o:lock v:ext="edit"/>
            <v:textbox>
              <w:txbxContent>
                <w:p>
                  <w:pPr>
                    <w:jc w:val="center"/>
                    <w:rPr>
                      <w:szCs w:val="21"/>
                    </w:rPr>
                  </w:pPr>
                  <w:r>
                    <w:rPr>
                      <w:rFonts w:hint="eastAsia"/>
                      <w:szCs w:val="21"/>
                    </w:rPr>
                    <w:t>法定代表人身份证人像面</w:t>
                  </w:r>
                </w:p>
              </w:txbxContent>
            </v:textbox>
          </v:shape>
        </w:pict>
      </w:r>
    </w:p>
    <w:p>
      <w:pPr>
        <w:widowControl/>
        <w:spacing w:line="360" w:lineRule="auto"/>
        <w:jc w:val="left"/>
        <w:rPr>
          <w:rFonts w:ascii="宋体" w:hAnsi="宋体" w:cs="宋体"/>
          <w:bCs/>
          <w:sz w:val="24"/>
        </w:rPr>
        <w:sectPr>
          <w:pgSz w:w="11906" w:h="16838"/>
          <w:pgMar w:top="1134" w:right="1800" w:bottom="1134" w:left="1800" w:header="851" w:footer="992" w:gutter="0"/>
          <w:pgNumType w:fmt="numberInDash"/>
          <w:cols w:space="720" w:num="1"/>
          <w:titlePg/>
          <w:docGrid w:linePitch="286" w:charSpace="0"/>
        </w:sectPr>
      </w:pPr>
      <w:r>
        <w:pict>
          <v:shape id="_x0000_s1029" o:spid="_x0000_s1029" o:spt="176" type="#_x0000_t176" style="position:absolute;left:0pt;margin-left:187.9pt;margin-top:-6.2pt;height:151.5pt;width:255.45pt;z-index:251663360;mso-width-relative:page;mso-height-relative:page;" coordsize="21600,21600" o:gfxdata="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k60YB2QAAAAsBAAAPAAAAAAAAAAEAIAAAACIAAABkcnMvZG93bnJldi54bWxQSwEC&#10;FAAUAAAACACHTuJAsRnzYywCAABSBAAADgAAAAAAAAABACAAAAAoAQAAZHJzL2Uyb0RvYy54bWxQ&#10;SwUGAAAAAAYABgBZAQAAxgUAAAAA&#10;">
            <v:path/>
            <v:fill focussize="0,0"/>
            <v:stroke joinstyle="miter"/>
            <v:imagedata o:title=""/>
            <o:lock v:ext="edit"/>
            <v:textbox>
              <w:txbxContent>
                <w:p>
                  <w:pPr>
                    <w:jc w:val="center"/>
                    <w:rPr>
                      <w:szCs w:val="21"/>
                    </w:rPr>
                  </w:pPr>
                  <w:r>
                    <w:rPr>
                      <w:rFonts w:hint="eastAsia"/>
                      <w:szCs w:val="21"/>
                    </w:rPr>
                    <w:t>法定代表人身份证国徽面</w:t>
                  </w:r>
                </w:p>
              </w:txbxContent>
            </v:textbox>
          </v:shape>
        </w:pict>
      </w:r>
    </w:p>
    <w:bookmarkEnd w:id="523"/>
    <w:p>
      <w:pPr>
        <w:spacing w:line="440" w:lineRule="exact"/>
        <w:ind w:firstLine="2160" w:firstLineChars="900"/>
        <w:rPr>
          <w:rFonts w:ascii="宋体" w:hAnsi="宋体" w:cs="宋体"/>
          <w:bCs/>
          <w:sz w:val="24"/>
        </w:rPr>
      </w:pPr>
      <w:bookmarkStart w:id="524" w:name="_Toc6694"/>
      <w:r>
        <w:rPr>
          <w:rFonts w:hint="eastAsia" w:ascii="宋体" w:hAnsi="宋体" w:cs="宋体"/>
          <w:bCs/>
          <w:sz w:val="24"/>
        </w:rPr>
        <w:t>三、法定代表人授权委托书</w:t>
      </w:r>
      <w:bookmarkEnd w:id="524"/>
    </w:p>
    <w:p>
      <w:pPr>
        <w:jc w:val="center"/>
        <w:rPr>
          <w:rFonts w:ascii="宋体" w:cs="宋体"/>
          <w:b/>
          <w:sz w:val="24"/>
        </w:rPr>
      </w:pPr>
    </w:p>
    <w:p>
      <w:pPr>
        <w:topLinePunct/>
        <w:snapToGrid w:val="0"/>
        <w:spacing w:line="440" w:lineRule="exact"/>
        <w:ind w:firstLine="420" w:firstLineChars="200"/>
        <w:rPr>
          <w:rFonts w:ascii="宋体"/>
          <w:bCs/>
          <w:szCs w:val="21"/>
        </w:rPr>
      </w:pPr>
      <w:r>
        <w:rPr>
          <w:rFonts w:hint="eastAsia" w:ascii="宋体" w:hAnsi="宋体"/>
          <w:bCs/>
          <w:szCs w:val="21"/>
        </w:rPr>
        <w:t>本人</w:t>
      </w:r>
      <w:r>
        <w:rPr>
          <w:rFonts w:hint="eastAsia" w:ascii="宋体" w:hAnsi="宋体"/>
          <w:bCs/>
          <w:szCs w:val="21"/>
          <w:u w:val="single"/>
        </w:rPr>
        <w:t>（姓名）</w:t>
      </w:r>
      <w:r>
        <w:rPr>
          <w:rFonts w:hint="eastAsia" w:ascii="宋体" w:hAnsi="宋体"/>
          <w:bCs/>
          <w:szCs w:val="21"/>
        </w:rPr>
        <w:t>系</w:t>
      </w:r>
      <w:r>
        <w:rPr>
          <w:rFonts w:hint="eastAsia" w:ascii="宋体" w:hAnsi="宋体"/>
          <w:bCs/>
          <w:szCs w:val="21"/>
          <w:u w:val="single"/>
        </w:rPr>
        <w:t>（投标人名称）</w:t>
      </w:r>
      <w:r>
        <w:rPr>
          <w:rFonts w:hint="eastAsia" w:ascii="宋体" w:hAnsi="宋体"/>
          <w:bCs/>
          <w:szCs w:val="21"/>
        </w:rPr>
        <w:t>的法定代表人，现委托</w:t>
      </w:r>
      <w:r>
        <w:rPr>
          <w:rFonts w:hint="eastAsia" w:ascii="宋体" w:hAnsi="宋体"/>
          <w:bCs/>
          <w:szCs w:val="21"/>
          <w:u w:val="single"/>
        </w:rPr>
        <w:t>（姓名）</w:t>
      </w:r>
      <w:r>
        <w:rPr>
          <w:rFonts w:hint="eastAsia" w:ascii="宋体" w:hAnsi="宋体"/>
          <w:bCs/>
          <w:szCs w:val="21"/>
        </w:rPr>
        <w:t>为我方代理人。代理人根据授权，以我方名义全权处理</w:t>
      </w:r>
      <w:r>
        <w:rPr>
          <w:rFonts w:hint="eastAsia" w:ascii="宋体" w:hAnsi="宋体"/>
          <w:bCs/>
          <w:szCs w:val="21"/>
          <w:u w:val="single"/>
          <w:lang w:val="en-US" w:eastAsia="zh-CN"/>
        </w:rPr>
        <w:t>江西省</w:t>
      </w:r>
      <w:r>
        <w:rPr>
          <w:rFonts w:hint="eastAsia" w:ascii="宋体" w:hAnsi="宋体"/>
          <w:szCs w:val="21"/>
          <w:u w:val="single"/>
        </w:rPr>
        <w:t>新余市两江黑臭水体整治工程项目</w:t>
      </w:r>
      <w:r>
        <w:rPr>
          <w:rFonts w:hint="eastAsia" w:ascii="宋体" w:hAnsi="宋体" w:cs="Times New Roman"/>
          <w:color w:val="333333"/>
          <w:kern w:val="2"/>
          <w:sz w:val="21"/>
          <w:szCs w:val="21"/>
          <w:u w:val="single"/>
        </w:rPr>
        <w:t>楼宇雨污分流器</w:t>
      </w:r>
      <w:r>
        <w:rPr>
          <w:rFonts w:hint="eastAsia" w:ascii="宋体" w:hAnsi="宋体"/>
          <w:szCs w:val="21"/>
          <w:u w:val="single"/>
        </w:rPr>
        <w:t>采购</w:t>
      </w:r>
      <w:r>
        <w:rPr>
          <w:rFonts w:hint="eastAsia" w:ascii="宋体" w:hAnsi="宋体"/>
          <w:bCs/>
          <w:szCs w:val="21"/>
          <w:u w:val="single"/>
        </w:rPr>
        <w:t>（签署、澄清、说明、补正、递交、撤回、修改投标文件，签订合同和处理一切有关事宜）</w:t>
      </w:r>
      <w:r>
        <w:rPr>
          <w:rFonts w:hint="eastAsia" w:ascii="宋体" w:hAnsi="宋体"/>
          <w:bCs/>
          <w:szCs w:val="21"/>
        </w:rPr>
        <w:t>，其法律后果由我方承担。</w:t>
      </w:r>
    </w:p>
    <w:p>
      <w:pPr>
        <w:topLinePunct/>
        <w:snapToGrid w:val="0"/>
        <w:spacing w:line="440" w:lineRule="exact"/>
        <w:ind w:firstLine="420" w:firstLineChars="200"/>
        <w:rPr>
          <w:rFonts w:ascii="宋体"/>
          <w:bCs/>
          <w:szCs w:val="21"/>
        </w:rPr>
      </w:pPr>
      <w:r>
        <w:rPr>
          <w:rFonts w:hint="eastAsia" w:ascii="宋体" w:hAnsi="宋体"/>
          <w:bCs/>
          <w:szCs w:val="21"/>
        </w:rPr>
        <w:t>委托期限：</w:t>
      </w:r>
      <w:r>
        <w:rPr>
          <w:rFonts w:hint="eastAsia" w:ascii="宋体" w:hAnsi="宋体"/>
          <w:bCs/>
          <w:szCs w:val="21"/>
          <w:u w:val="single"/>
        </w:rPr>
        <w:t>自签署本委托书之日起日</w:t>
      </w:r>
      <w:r>
        <w:rPr>
          <w:rFonts w:hint="eastAsia" w:ascii="宋体" w:hAnsi="宋体"/>
          <w:bCs/>
          <w:szCs w:val="21"/>
        </w:rPr>
        <w:t>。</w:t>
      </w:r>
    </w:p>
    <w:p>
      <w:pPr>
        <w:topLinePunct/>
        <w:snapToGrid w:val="0"/>
        <w:spacing w:line="440" w:lineRule="exact"/>
        <w:ind w:firstLine="420" w:firstLineChars="200"/>
        <w:rPr>
          <w:rFonts w:ascii="宋体"/>
          <w:bCs/>
          <w:szCs w:val="21"/>
        </w:rPr>
      </w:pPr>
      <w:r>
        <w:rPr>
          <w:rFonts w:hint="eastAsia" w:ascii="宋体" w:hAnsi="宋体"/>
          <w:bCs/>
          <w:szCs w:val="21"/>
        </w:rPr>
        <w:t>代理人无转委托权。</w:t>
      </w:r>
    </w:p>
    <w:p>
      <w:pPr>
        <w:topLinePunct/>
        <w:snapToGrid w:val="0"/>
        <w:spacing w:line="440" w:lineRule="exact"/>
        <w:ind w:firstLine="420" w:firstLineChars="200"/>
        <w:rPr>
          <w:rFonts w:ascii="宋体"/>
          <w:bCs/>
          <w:szCs w:val="21"/>
        </w:rPr>
      </w:pPr>
    </w:p>
    <w:p>
      <w:pPr>
        <w:topLinePunct/>
        <w:snapToGrid w:val="0"/>
        <w:spacing w:line="440" w:lineRule="exact"/>
        <w:ind w:firstLine="420" w:firstLineChars="200"/>
        <w:rPr>
          <w:rFonts w:ascii="宋体"/>
          <w:bCs/>
          <w:szCs w:val="21"/>
        </w:rPr>
      </w:pPr>
      <w:r>
        <w:rPr>
          <w:rFonts w:hint="eastAsia" w:ascii="宋体" w:hAnsi="宋体"/>
          <w:bCs/>
          <w:szCs w:val="21"/>
        </w:rPr>
        <w:t>附：授权委托人身份证复印件</w:t>
      </w:r>
    </w:p>
    <w:p>
      <w:pPr>
        <w:spacing w:line="500" w:lineRule="exact"/>
        <w:rPr>
          <w:rFonts w:ascii="宋体"/>
          <w:szCs w:val="21"/>
        </w:rPr>
      </w:pPr>
      <w:r>
        <w:pict>
          <v:shape id="_x0000_s1028" o:spid="_x0000_s1028" o:spt="176" type="#_x0000_t176" style="position:absolute;left:0pt;margin-left:194.5pt;margin-top:18.8pt;height:147.85pt;width:244.1pt;z-index:251661312;mso-width-relative:page;mso-height-relative:page;" coordsize="21600,21600" o:gfxdata="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dKwFnXAAAACgEAAA8AAAAAAAAAAQAgAAAAIgAAAGRycy9kb3ducmV2LnhtbFBLAQIUABQA&#10;AAAIAIdO4kB7Cm08KgIAAFAEAAAOAAAAAAAAAAEAIAAAACYBAABkcnMvZTJvRG9jLnhtbFBLBQYA&#10;AAAABgAGAFkBAADCBQAAAAA=&#10;">
            <v:path/>
            <v:fill focussize="0,0"/>
            <v:stroke joinstyle="miter"/>
            <v:imagedata o:title=""/>
            <o:lock v:ext="edit"/>
            <v:textbox>
              <w:txbxContent>
                <w:p>
                  <w:pPr>
                    <w:jc w:val="center"/>
                    <w:rPr>
                      <w:szCs w:val="21"/>
                    </w:rPr>
                  </w:pPr>
                  <w:r>
                    <w:rPr>
                      <w:rFonts w:hint="eastAsia"/>
                      <w:szCs w:val="21"/>
                    </w:rPr>
                    <w:t>授权委托人身份证国徽面</w:t>
                  </w:r>
                </w:p>
              </w:txbxContent>
            </v:textbox>
          </v:shape>
        </w:pict>
      </w:r>
      <w:r>
        <w:pict>
          <v:shape id="_x0000_s1027" o:spid="_x0000_s1027" o:spt="176" type="#_x0000_t176" style="position:absolute;left:0pt;margin-left:-51.35pt;margin-top:18.8pt;height:144.85pt;width:244.7pt;z-index:251660288;mso-width-relative:page;mso-height-relative:page;" coordsize="21600,21600" o:gfxdata="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LKmgNgAAAALAQAADwAAAAAAAAABACAAAAAiAAAAZHJzL2Rvd25yZXYueG1sUEsBAhQA&#10;FAAAAAgAh07iQNx448UrAgAAUgQAAA4AAAAAAAAAAQAgAAAAJwEAAGRycy9lMm9Eb2MueG1sUEsF&#10;BgAAAAAGAAYAWQEAAMQFAAAAAA==&#10;">
            <v:path/>
            <v:fill focussize="0,0"/>
            <v:stroke joinstyle="miter"/>
            <v:imagedata o:title=""/>
            <o:lock v:ext="edit"/>
            <v:textbox>
              <w:txbxContent>
                <w:p>
                  <w:pPr>
                    <w:jc w:val="center"/>
                    <w:rPr>
                      <w:szCs w:val="21"/>
                    </w:rPr>
                  </w:pPr>
                  <w:r>
                    <w:rPr>
                      <w:rFonts w:hint="eastAsia"/>
                      <w:szCs w:val="21"/>
                    </w:rPr>
                    <w:t>授权委托人身份证人像面</w:t>
                  </w:r>
                </w:p>
                <w:p>
                  <w:pPr>
                    <w:jc w:val="center"/>
                    <w:rPr>
                      <w:szCs w:val="21"/>
                    </w:rPr>
                  </w:pPr>
                </w:p>
              </w:txbxContent>
            </v:textbox>
          </v:shape>
        </w:pict>
      </w:r>
    </w:p>
    <w:p>
      <w:pPr>
        <w:spacing w:line="44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p>
    <w:p>
      <w:pPr>
        <w:spacing w:line="500" w:lineRule="exact"/>
        <w:rPr>
          <w:rFonts w:ascii="宋体"/>
          <w:szCs w:val="21"/>
        </w:rPr>
      </w:pPr>
    </w:p>
    <w:p>
      <w:pPr>
        <w:spacing w:line="50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szCs w:val="21"/>
        </w:rPr>
      </w:pPr>
    </w:p>
    <w:p>
      <w:pPr>
        <w:topLinePunct/>
        <w:snapToGrid w:val="0"/>
        <w:spacing w:line="440" w:lineRule="exact"/>
        <w:jc w:val="both"/>
        <w:rPr>
          <w:rFonts w:ascii="宋体"/>
          <w:bCs/>
          <w:szCs w:val="21"/>
        </w:rPr>
      </w:pPr>
      <w:r>
        <w:rPr>
          <w:rFonts w:hint="eastAsia" w:ascii="宋体" w:hAnsi="宋体"/>
          <w:bCs/>
          <w:szCs w:val="21"/>
        </w:rPr>
        <w:t>投标人名称：（盖单位公章）</w:t>
      </w:r>
    </w:p>
    <w:p>
      <w:pPr>
        <w:topLinePunct/>
        <w:snapToGrid w:val="0"/>
        <w:spacing w:line="440" w:lineRule="exact"/>
        <w:rPr>
          <w:rFonts w:ascii="宋体"/>
          <w:bCs/>
          <w:szCs w:val="21"/>
        </w:rPr>
      </w:pPr>
      <w:r>
        <w:rPr>
          <w:rFonts w:hint="eastAsia" w:ascii="宋体" w:hAnsi="宋体"/>
          <w:bCs/>
          <w:szCs w:val="21"/>
        </w:rPr>
        <w:t>法定代表人：（签字或盖章）</w:t>
      </w:r>
    </w:p>
    <w:p>
      <w:pPr>
        <w:topLinePunct/>
        <w:snapToGrid w:val="0"/>
        <w:spacing w:line="440" w:lineRule="exact"/>
        <w:rPr>
          <w:rFonts w:ascii="宋体"/>
          <w:bCs/>
          <w:szCs w:val="21"/>
        </w:rPr>
      </w:pPr>
      <w:r>
        <w:rPr>
          <w:rFonts w:hint="eastAsia" w:ascii="宋体" w:hAnsi="宋体"/>
          <w:bCs/>
          <w:szCs w:val="21"/>
        </w:rPr>
        <w:t>身份证号码：</w:t>
      </w:r>
    </w:p>
    <w:p>
      <w:pPr>
        <w:topLinePunct/>
        <w:snapToGrid w:val="0"/>
        <w:spacing w:line="440" w:lineRule="exact"/>
        <w:rPr>
          <w:rFonts w:ascii="宋体" w:hAnsi="宋体"/>
          <w:bCs/>
          <w:szCs w:val="21"/>
        </w:rPr>
      </w:pPr>
      <w:r>
        <w:rPr>
          <w:rFonts w:hint="eastAsia" w:ascii="宋体" w:hAnsi="宋体"/>
          <w:bCs/>
          <w:szCs w:val="21"/>
        </w:rPr>
        <w:t>授权委托人：（签字或盖章）</w:t>
      </w:r>
    </w:p>
    <w:p>
      <w:pPr>
        <w:topLinePunct/>
        <w:snapToGrid w:val="0"/>
        <w:spacing w:line="440" w:lineRule="exact"/>
        <w:rPr>
          <w:rFonts w:ascii="宋体"/>
          <w:bCs/>
          <w:szCs w:val="21"/>
        </w:rPr>
      </w:pPr>
      <w:r>
        <w:rPr>
          <w:rFonts w:hint="eastAsia" w:ascii="宋体" w:hAnsi="宋体"/>
          <w:bCs/>
          <w:szCs w:val="21"/>
        </w:rPr>
        <w:t>身份证号码：</w:t>
      </w:r>
    </w:p>
    <w:p>
      <w:pPr>
        <w:topLinePunct/>
        <w:snapToGrid w:val="0"/>
        <w:spacing w:line="440" w:lineRule="exact"/>
        <w:rPr>
          <w:rFonts w:ascii="宋体"/>
          <w:bCs/>
          <w:szCs w:val="21"/>
        </w:rPr>
      </w:pPr>
      <w:r>
        <w:rPr>
          <w:rFonts w:hint="eastAsia" w:ascii="宋体" w:hAnsi="宋体"/>
          <w:bCs/>
          <w:szCs w:val="21"/>
        </w:rPr>
        <w:t>年月日</w:t>
      </w:r>
    </w:p>
    <w:p>
      <w:pPr>
        <w:topLinePunct/>
        <w:snapToGrid w:val="0"/>
        <w:spacing w:line="440" w:lineRule="exact"/>
        <w:ind w:firstLine="420" w:firstLineChars="200"/>
        <w:rPr>
          <w:rFonts w:ascii="宋体"/>
          <w:bCs/>
          <w:szCs w:val="21"/>
        </w:rPr>
      </w:pPr>
    </w:p>
    <w:p>
      <w:pPr>
        <w:topLinePunct/>
        <w:snapToGrid w:val="0"/>
        <w:spacing w:line="440" w:lineRule="exact"/>
        <w:ind w:firstLine="420" w:firstLineChars="200"/>
        <w:rPr>
          <w:rFonts w:ascii="宋体"/>
          <w:bCs/>
          <w:szCs w:val="21"/>
        </w:rPr>
      </w:pPr>
    </w:p>
    <w:p>
      <w:pPr>
        <w:topLinePunct/>
        <w:snapToGrid w:val="0"/>
        <w:spacing w:line="440" w:lineRule="exact"/>
        <w:ind w:firstLine="420" w:firstLineChars="200"/>
        <w:rPr>
          <w:rFonts w:ascii="宋体"/>
          <w:bCs/>
          <w:szCs w:val="21"/>
        </w:rPr>
      </w:pPr>
    </w:p>
    <w:p>
      <w:pPr>
        <w:rPr>
          <w:rFonts w:ascii="宋体"/>
          <w:bCs/>
          <w:szCs w:val="21"/>
        </w:rPr>
      </w:pPr>
    </w:p>
    <w:p/>
    <w:p>
      <w:pPr>
        <w:pStyle w:val="3"/>
        <w:snapToGrid w:val="0"/>
        <w:spacing w:before="240" w:after="120" w:line="240" w:lineRule="auto"/>
        <w:jc w:val="center"/>
        <w:rPr>
          <w:rFonts w:ascii="宋体" w:hAnsi="宋体" w:eastAsia="宋体" w:cs="宋体"/>
          <w:bCs w:val="0"/>
          <w:sz w:val="24"/>
          <w:szCs w:val="24"/>
        </w:rPr>
      </w:pPr>
      <w:bookmarkStart w:id="525" w:name="_Toc8763"/>
    </w:p>
    <w:p>
      <w:pPr>
        <w:pStyle w:val="3"/>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四、投标保证金（无）</w:t>
      </w:r>
      <w:bookmarkEnd w:id="525"/>
    </w:p>
    <w:p>
      <w:pPr>
        <w:pStyle w:val="21"/>
        <w:ind w:firstLine="0" w:firstLineChars="0"/>
        <w:jc w:val="center"/>
        <w:rPr>
          <w:rFonts w:ascii="宋体"/>
          <w:b/>
          <w:sz w:val="24"/>
        </w:rPr>
      </w:pPr>
    </w:p>
    <w:p>
      <w:pPr>
        <w:pStyle w:val="21"/>
        <w:spacing w:line="360" w:lineRule="auto"/>
        <w:ind w:firstLine="482"/>
        <w:jc w:val="center"/>
        <w:rPr>
          <w:rFonts w:ascii="宋体"/>
          <w:b/>
          <w:sz w:val="24"/>
        </w:rPr>
      </w:pPr>
    </w:p>
    <w:p>
      <w:pPr>
        <w:pStyle w:val="21"/>
        <w:spacing w:line="360" w:lineRule="auto"/>
        <w:ind w:firstLine="482"/>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pStyle w:val="21"/>
        <w:ind w:firstLine="0" w:firstLineChars="0"/>
        <w:jc w:val="center"/>
        <w:rPr>
          <w:rFonts w:ascii="宋体"/>
          <w:b/>
          <w:sz w:val="24"/>
        </w:rPr>
      </w:pPr>
    </w:p>
    <w:p>
      <w:pPr>
        <w:spacing w:line="360" w:lineRule="exact"/>
        <w:rPr>
          <w:rFonts w:ascii="宋体"/>
          <w:sz w:val="28"/>
          <w:szCs w:val="28"/>
        </w:rPr>
        <w:sectPr>
          <w:pgSz w:w="11906" w:h="16838"/>
          <w:pgMar w:top="1134" w:right="1800" w:bottom="1134" w:left="1800" w:header="851" w:footer="992" w:gutter="0"/>
          <w:pgNumType w:fmt="numberInDash"/>
          <w:cols w:space="720" w:num="1"/>
          <w:titlePg/>
          <w:docGrid w:linePitch="286" w:charSpace="0"/>
        </w:sectPr>
      </w:pPr>
    </w:p>
    <w:p>
      <w:pPr>
        <w:pStyle w:val="3"/>
        <w:ind w:firstLine="2650" w:firstLineChars="1100"/>
        <w:rPr>
          <w:rFonts w:ascii="宋体" w:hAnsi="宋体" w:eastAsia="宋体" w:cs="宋体"/>
          <w:sz w:val="24"/>
          <w:szCs w:val="24"/>
        </w:rPr>
      </w:pPr>
      <w:bookmarkStart w:id="526" w:name="_Toc16175995"/>
      <w:bookmarkStart w:id="527" w:name="_Toc25840"/>
      <w:bookmarkStart w:id="528" w:name="_Toc447265331"/>
      <w:bookmarkStart w:id="529" w:name="_Toc447265617"/>
      <w:r>
        <w:rPr>
          <w:rFonts w:hint="eastAsia" w:ascii="宋体" w:hAnsi="宋体" w:eastAsia="宋体" w:cs="宋体"/>
          <w:sz w:val="24"/>
          <w:szCs w:val="24"/>
        </w:rPr>
        <w:t>五、资格审查资料</w:t>
      </w:r>
      <w:bookmarkEnd w:id="526"/>
      <w:bookmarkEnd w:id="527"/>
    </w:p>
    <w:p>
      <w:pPr>
        <w:pStyle w:val="12"/>
        <w:shd w:val="clear" w:color="auto" w:fill="FFFFFF"/>
        <w:spacing w:before="0" w:beforeAutospacing="0" w:after="0" w:afterAutospacing="0" w:line="380" w:lineRule="exact"/>
        <w:ind w:firstLine="420" w:firstLineChars="200"/>
        <w:rPr>
          <w:rFonts w:cs="Times New Roman"/>
          <w:kern w:val="2"/>
          <w:sz w:val="21"/>
          <w:szCs w:val="21"/>
        </w:rPr>
      </w:pPr>
      <w:r>
        <w:rPr>
          <w:rFonts w:cs="Times New Roman"/>
          <w:kern w:val="2"/>
          <w:sz w:val="21"/>
          <w:szCs w:val="21"/>
        </w:rPr>
        <w:t>1</w:t>
      </w:r>
      <w:r>
        <w:rPr>
          <w:rFonts w:hint="eastAsia" w:cs="Times New Roman"/>
          <w:kern w:val="2"/>
          <w:sz w:val="21"/>
          <w:szCs w:val="21"/>
        </w:rPr>
        <w:t>、投标人应为中华人民共和国境内依法注册的独立企业法人机构或其他组织，具有有效的营业执照或事业单位法人证书，应包含相应的经营范围或业务范围（提供有效的营业执照或事业单位法人证书）；</w:t>
      </w:r>
      <w:r>
        <w:rPr>
          <w:rFonts w:hint="eastAsia" w:cs="Times New Roman"/>
          <w:b/>
          <w:kern w:val="2"/>
          <w:sz w:val="21"/>
          <w:szCs w:val="21"/>
        </w:rPr>
        <w:t>投标文件中应附：营业执照、组织机构代码证、税务登记证（前述营业执照、组织机构代码证、税务登记证已三证合一的，则需提供具有统一社会信用代码的营业执照副本）复印件并加盖单位公章。</w:t>
      </w:r>
    </w:p>
    <w:p>
      <w:pPr>
        <w:pStyle w:val="12"/>
        <w:shd w:val="clear" w:color="auto" w:fill="FFFFFF"/>
        <w:spacing w:before="0" w:beforeAutospacing="0" w:after="0" w:afterAutospacing="0" w:line="360" w:lineRule="auto"/>
        <w:ind w:firstLine="420" w:firstLineChars="200"/>
        <w:rPr>
          <w:rFonts w:cs="Times New Roman"/>
          <w:kern w:val="2"/>
          <w:sz w:val="21"/>
          <w:szCs w:val="21"/>
        </w:rPr>
      </w:pPr>
      <w:r>
        <w:rPr>
          <w:rFonts w:hint="eastAsia" w:cs="Times New Roman"/>
          <w:kern w:val="2"/>
          <w:sz w:val="21"/>
          <w:szCs w:val="21"/>
        </w:rPr>
        <w:t>2、符合《中华人民共和国招标投标法》对投标人其他资质要求；</w:t>
      </w:r>
    </w:p>
    <w:p>
      <w:pPr>
        <w:spacing w:line="360" w:lineRule="auto"/>
        <w:ind w:firstLine="420" w:firstLineChars="200"/>
        <w:rPr>
          <w:rFonts w:ascii="宋体" w:hAnsi="宋体"/>
          <w:kern w:val="0"/>
          <w:szCs w:val="21"/>
        </w:rPr>
      </w:pPr>
      <w:r>
        <w:rPr>
          <w:rFonts w:hint="eastAsia" w:ascii="宋体" w:hAnsi="宋体"/>
          <w:kern w:val="0"/>
          <w:szCs w:val="21"/>
        </w:rPr>
        <w:t>3、投标人须为未被列入“信用中国”网站</w:t>
      </w:r>
      <w:r>
        <w:rPr>
          <w:rFonts w:ascii="宋体" w:hAnsi="宋体"/>
          <w:kern w:val="0"/>
          <w:szCs w:val="21"/>
        </w:rPr>
        <w:t>(www.creditchina.gov.cn)</w:t>
      </w:r>
      <w:r>
        <w:rPr>
          <w:rFonts w:hint="eastAsia" w:ascii="宋体" w:hAnsi="宋体"/>
          <w:kern w:val="0"/>
          <w:szCs w:val="21"/>
        </w:rPr>
        <w:t>记录失信被执行人或重大税收违法案件当事人名单或政府采购严重违法失信行为记录名单；不处于中国政府采购网</w:t>
      </w:r>
      <w:r>
        <w:rPr>
          <w:rFonts w:ascii="宋体" w:hAnsi="宋体"/>
          <w:kern w:val="0"/>
          <w:szCs w:val="21"/>
        </w:rPr>
        <w:t>(www.ccgp.gov.cn)</w:t>
      </w:r>
      <w:r>
        <w:rPr>
          <w:rFonts w:hint="eastAsia" w:ascii="宋体" w:hAnsi="宋体"/>
          <w:kern w:val="0"/>
          <w:szCs w:val="21"/>
        </w:rPr>
        <w:t>政府采购严重违法失信行为信息记录中的禁止参加政府采购活动期间等的方可参加本项目的投标。</w:t>
      </w:r>
      <w:r>
        <w:rPr>
          <w:rFonts w:hint="eastAsia"/>
          <w:szCs w:val="21"/>
        </w:rPr>
        <w:t>时间以投标截止日前五个工作日至投标截止日查询结果为准，投标人须将查询后的网页截图加盖单位公章后装入投标文件内，查询结果以开标当天现场查询结果为准</w:t>
      </w:r>
      <w:r>
        <w:rPr>
          <w:rFonts w:hint="eastAsia"/>
          <w:b/>
          <w:szCs w:val="21"/>
        </w:rPr>
        <w:t>。</w:t>
      </w:r>
    </w:p>
    <w:p>
      <w:pPr>
        <w:spacing w:line="360" w:lineRule="auto"/>
        <w:ind w:firstLine="420" w:firstLineChars="200"/>
        <w:rPr>
          <w:rFonts w:ascii="宋体" w:hAnsi="宋体"/>
          <w:kern w:val="0"/>
          <w:szCs w:val="21"/>
        </w:rPr>
      </w:pPr>
      <w:r>
        <w:rPr>
          <w:rFonts w:hint="eastAsia" w:ascii="宋体" w:hAnsi="宋体"/>
          <w:kern w:val="0"/>
          <w:szCs w:val="21"/>
        </w:rPr>
        <w:t>4、单位负责人为同一人或者存在控股、管理关系的不同单位，不得同时参加投标；</w:t>
      </w:r>
      <w:r>
        <w:rPr>
          <w:rFonts w:hint="eastAsia"/>
          <w:b/>
          <w:szCs w:val="21"/>
        </w:rPr>
        <w:t>投标文件中应附：相应承诺，格式自拟。</w:t>
      </w:r>
    </w:p>
    <w:p>
      <w:pPr>
        <w:pStyle w:val="12"/>
        <w:shd w:val="clear" w:color="auto" w:fill="FFFFFF"/>
        <w:spacing w:before="0" w:beforeAutospacing="0" w:after="0" w:afterAutospacing="0" w:line="360" w:lineRule="auto"/>
        <w:ind w:firstLine="420" w:firstLineChars="200"/>
        <w:rPr>
          <w:rFonts w:cs="Times New Roman"/>
          <w:kern w:val="2"/>
          <w:sz w:val="21"/>
          <w:szCs w:val="21"/>
        </w:rPr>
      </w:pPr>
    </w:p>
    <w:p>
      <w:pPr>
        <w:spacing w:line="360" w:lineRule="auto"/>
        <w:ind w:firstLine="422" w:firstLineChars="200"/>
        <w:rPr>
          <w:rFonts w:ascii="宋体"/>
          <w:b/>
          <w:szCs w:val="21"/>
        </w:rPr>
      </w:pPr>
      <w:r>
        <w:rPr>
          <w:rFonts w:hint="eastAsia"/>
          <w:b/>
          <w:szCs w:val="21"/>
        </w:rPr>
        <w:t>网页截图图例如下：</w:t>
      </w:r>
    </w:p>
    <w:p>
      <w:pPr>
        <w:spacing w:line="360" w:lineRule="auto"/>
        <w:ind w:firstLine="422" w:firstLineChars="200"/>
        <w:rPr>
          <w:rFonts w:ascii="宋体"/>
          <w:b/>
          <w:szCs w:val="21"/>
        </w:rPr>
      </w:pPr>
    </w:p>
    <w:p>
      <w:pPr>
        <w:spacing w:line="360" w:lineRule="auto"/>
        <w:ind w:firstLine="422" w:firstLineChars="200"/>
        <w:rPr>
          <w:rFonts w:ascii="宋体"/>
          <w:b/>
          <w:szCs w:val="21"/>
        </w:rPr>
      </w:pPr>
    </w:p>
    <w:p>
      <w:pPr>
        <w:spacing w:line="360" w:lineRule="auto"/>
        <w:ind w:firstLine="422" w:firstLineChars="200"/>
        <w:rPr>
          <w:rFonts w:ascii="宋体"/>
          <w:b/>
          <w:szCs w:val="21"/>
        </w:rPr>
      </w:pPr>
    </w:p>
    <w:p>
      <w:pPr>
        <w:spacing w:line="360" w:lineRule="auto"/>
        <w:ind w:firstLine="422" w:firstLineChars="200"/>
        <w:rPr>
          <w:rFonts w:ascii="宋体"/>
          <w:b/>
          <w:szCs w:val="21"/>
        </w:rPr>
      </w:pPr>
    </w:p>
    <w:p>
      <w:pPr>
        <w:spacing w:line="360" w:lineRule="auto"/>
        <w:ind w:firstLine="422" w:firstLineChars="200"/>
        <w:rPr>
          <w:rFonts w:ascii="宋体"/>
          <w:b/>
          <w:szCs w:val="21"/>
        </w:rPr>
      </w:pPr>
    </w:p>
    <w:p>
      <w:pPr>
        <w:spacing w:line="360" w:lineRule="auto"/>
        <w:ind w:firstLine="422" w:firstLineChars="200"/>
        <w:rPr>
          <w:rFonts w:ascii="宋体"/>
          <w:b/>
          <w:szCs w:val="21"/>
        </w:rPr>
      </w:pPr>
    </w:p>
    <w:p>
      <w:pPr>
        <w:spacing w:line="360" w:lineRule="auto"/>
        <w:ind w:firstLine="422" w:firstLineChars="200"/>
        <w:rPr>
          <w:rFonts w:ascii="宋体"/>
          <w:b/>
          <w:szCs w:val="21"/>
        </w:rPr>
      </w:pPr>
    </w:p>
    <w:p>
      <w:pPr>
        <w:spacing w:line="360" w:lineRule="auto"/>
        <w:ind w:firstLine="422" w:firstLineChars="200"/>
        <w:rPr>
          <w:rFonts w:ascii="宋体"/>
          <w:b/>
          <w:szCs w:val="21"/>
        </w:rPr>
      </w:pPr>
    </w:p>
    <w:p>
      <w:pPr>
        <w:spacing w:line="360" w:lineRule="auto"/>
        <w:ind w:firstLine="422" w:firstLineChars="200"/>
        <w:rPr>
          <w:rFonts w:ascii="宋体"/>
          <w:b/>
          <w:szCs w:val="21"/>
        </w:rPr>
      </w:pPr>
    </w:p>
    <w:p>
      <w:pPr>
        <w:spacing w:line="360" w:lineRule="auto"/>
        <w:ind w:firstLine="422" w:firstLineChars="200"/>
        <w:rPr>
          <w:rFonts w:ascii="宋体"/>
          <w:b/>
          <w:szCs w:val="21"/>
        </w:rPr>
      </w:pPr>
    </w:p>
    <w:p>
      <w:pPr>
        <w:spacing w:line="360" w:lineRule="auto"/>
        <w:ind w:firstLine="422" w:firstLineChars="200"/>
        <w:rPr>
          <w:rFonts w:ascii="宋体"/>
          <w:b/>
          <w:szCs w:val="21"/>
        </w:rPr>
      </w:pPr>
    </w:p>
    <w:p>
      <w:pPr>
        <w:spacing w:line="360" w:lineRule="auto"/>
        <w:ind w:firstLine="422" w:firstLineChars="200"/>
        <w:rPr>
          <w:rFonts w:ascii="宋体"/>
          <w:b/>
          <w:szCs w:val="21"/>
        </w:rPr>
      </w:pPr>
    </w:p>
    <w:p>
      <w:pPr>
        <w:spacing w:line="360" w:lineRule="auto"/>
        <w:ind w:firstLine="422" w:firstLineChars="200"/>
        <w:rPr>
          <w:rFonts w:ascii="宋体"/>
          <w:b/>
          <w:szCs w:val="21"/>
        </w:rPr>
      </w:pPr>
    </w:p>
    <w:p>
      <w:pPr>
        <w:spacing w:line="360" w:lineRule="auto"/>
        <w:ind w:firstLine="422" w:firstLineChars="200"/>
        <w:rPr>
          <w:rFonts w:ascii="宋体"/>
          <w:b/>
          <w:szCs w:val="21"/>
        </w:rPr>
      </w:pPr>
      <w:r>
        <w:rPr>
          <w:rFonts w:hint="eastAsia" w:ascii="宋体"/>
          <w:b/>
          <w:szCs w:val="21"/>
        </w:rPr>
        <w:t xml:space="preserve">图例1： </w:t>
      </w:r>
    </w:p>
    <w:p>
      <w:pPr>
        <w:spacing w:line="360" w:lineRule="auto"/>
        <w:ind w:firstLine="422" w:firstLineChars="200"/>
        <w:rPr>
          <w:rFonts w:ascii="宋体"/>
          <w:b/>
          <w:szCs w:val="21"/>
        </w:rPr>
      </w:pPr>
      <w:r>
        <w:rPr>
          <w:rFonts w:hint="eastAsia" w:ascii="宋体"/>
          <w:b/>
          <w:szCs w:val="21"/>
        </w:rPr>
        <w:drawing>
          <wp:inline distT="0" distB="0" distL="114300" distR="114300">
            <wp:extent cx="5057775" cy="7115175"/>
            <wp:effectExtent l="0" t="0" r="9525" b="9525"/>
            <wp:docPr id="4" name="图片 4" descr="微信图片_2020031810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318102758"/>
                    <pic:cNvPicPr>
                      <a:picLocks noChangeAspect="1"/>
                    </pic:cNvPicPr>
                  </pic:nvPicPr>
                  <pic:blipFill>
                    <a:blip r:embed="rId15"/>
                    <a:stretch>
                      <a:fillRect/>
                    </a:stretch>
                  </pic:blipFill>
                  <pic:spPr>
                    <a:xfrm>
                      <a:off x="0" y="0"/>
                      <a:ext cx="5057775" cy="7115175"/>
                    </a:xfrm>
                    <a:prstGeom prst="rect">
                      <a:avLst/>
                    </a:prstGeom>
                    <a:noFill/>
                    <a:ln>
                      <a:noFill/>
                    </a:ln>
                  </pic:spPr>
                </pic:pic>
              </a:graphicData>
            </a:graphic>
          </wp:inline>
        </w:drawing>
      </w:r>
      <w:r>
        <w:rPr>
          <w:rFonts w:hint="eastAsia" w:ascii="宋体"/>
          <w:b/>
          <w:szCs w:val="21"/>
        </w:rPr>
        <w:drawing>
          <wp:inline distT="0" distB="0" distL="114300" distR="114300">
            <wp:extent cx="5274310" cy="3795395"/>
            <wp:effectExtent l="0" t="0" r="2540" b="14605"/>
            <wp:docPr id="17" name="图片 5" descr="微信图片_2020031810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微信图片_20200318102803"/>
                    <pic:cNvPicPr>
                      <a:picLocks noChangeAspect="1"/>
                    </pic:cNvPicPr>
                  </pic:nvPicPr>
                  <pic:blipFill>
                    <a:blip r:embed="rId16"/>
                    <a:stretch>
                      <a:fillRect/>
                    </a:stretch>
                  </pic:blipFill>
                  <pic:spPr>
                    <a:xfrm>
                      <a:off x="0" y="0"/>
                      <a:ext cx="5274310" cy="3795395"/>
                    </a:xfrm>
                    <a:prstGeom prst="rect">
                      <a:avLst/>
                    </a:prstGeom>
                    <a:noFill/>
                    <a:ln>
                      <a:noFill/>
                    </a:ln>
                  </pic:spPr>
                </pic:pic>
              </a:graphicData>
            </a:graphic>
          </wp:inline>
        </w:drawing>
      </w:r>
    </w:p>
    <w:p>
      <w:pPr>
        <w:spacing w:line="360" w:lineRule="auto"/>
        <w:rPr>
          <w:rFonts w:ascii="宋体"/>
          <w:b/>
          <w:szCs w:val="21"/>
        </w:rPr>
      </w:pPr>
    </w:p>
    <w:p>
      <w:pPr>
        <w:spacing w:line="360" w:lineRule="auto"/>
        <w:rPr>
          <w:rFonts w:ascii="宋体"/>
          <w:b/>
          <w:szCs w:val="21"/>
        </w:rPr>
      </w:pPr>
      <w:r>
        <w:rPr>
          <w:rFonts w:hint="eastAsia" w:ascii="宋体"/>
          <w:b/>
          <w:szCs w:val="21"/>
        </w:rPr>
        <w:t>图例2：</w:t>
      </w:r>
    </w:p>
    <w:p>
      <w:pPr>
        <w:topLinePunct/>
        <w:adjustRightInd w:val="0"/>
        <w:snapToGrid w:val="0"/>
        <w:spacing w:line="440" w:lineRule="exact"/>
        <w:rPr>
          <w:rFonts w:ascii="宋体"/>
          <w:szCs w:val="21"/>
        </w:rPr>
      </w:pPr>
      <w:r>
        <w:drawing>
          <wp:anchor distT="0" distB="0" distL="114300" distR="114300" simplePos="0" relativeHeight="251659264" behindDoc="0" locked="0" layoutInCell="1" allowOverlap="1">
            <wp:simplePos x="0" y="0"/>
            <wp:positionH relativeFrom="column">
              <wp:posOffset>-421005</wp:posOffset>
            </wp:positionH>
            <wp:positionV relativeFrom="paragraph">
              <wp:posOffset>116840</wp:posOffset>
            </wp:positionV>
            <wp:extent cx="6057900" cy="3803015"/>
            <wp:effectExtent l="0" t="0" r="0" b="6985"/>
            <wp:wrapSquare wrapText="bothSides"/>
            <wp:docPr id="5" name="图片 6" descr="政府采购网截图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政府采购网截图图例"/>
                    <pic:cNvPicPr>
                      <a:picLocks noChangeAspect="1"/>
                    </pic:cNvPicPr>
                  </pic:nvPicPr>
                  <pic:blipFill>
                    <a:blip r:embed="rId17"/>
                    <a:stretch>
                      <a:fillRect/>
                    </a:stretch>
                  </pic:blipFill>
                  <pic:spPr>
                    <a:xfrm>
                      <a:off x="0" y="0"/>
                      <a:ext cx="6057900" cy="3803015"/>
                    </a:xfrm>
                    <a:prstGeom prst="rect">
                      <a:avLst/>
                    </a:prstGeom>
                    <a:noFill/>
                    <a:ln>
                      <a:noFill/>
                    </a:ln>
                  </pic:spPr>
                </pic:pic>
              </a:graphicData>
            </a:graphic>
          </wp:anchor>
        </w:drawing>
      </w:r>
    </w:p>
    <w:p>
      <w:pPr>
        <w:topLinePunct/>
        <w:adjustRightInd w:val="0"/>
        <w:snapToGrid w:val="0"/>
        <w:spacing w:line="440" w:lineRule="exact"/>
        <w:rPr>
          <w:rFonts w:ascii="宋体"/>
          <w:szCs w:val="21"/>
        </w:rPr>
        <w:sectPr>
          <w:headerReference r:id="rId9" w:type="default"/>
          <w:footerReference r:id="rId10" w:type="default"/>
          <w:pgSz w:w="11906" w:h="16838"/>
          <w:pgMar w:top="1440" w:right="1800" w:bottom="1440" w:left="1800" w:header="851" w:footer="992" w:gutter="0"/>
          <w:pgNumType w:fmt="numberInDash"/>
          <w:cols w:space="720" w:num="1"/>
          <w:docGrid w:type="lines" w:linePitch="312" w:charSpace="0"/>
        </w:sectPr>
      </w:pPr>
    </w:p>
    <w:bookmarkEnd w:id="528"/>
    <w:bookmarkEnd w:id="529"/>
    <w:p>
      <w:pPr>
        <w:pStyle w:val="3"/>
        <w:snapToGrid w:val="0"/>
        <w:spacing w:before="240" w:after="120" w:line="240" w:lineRule="auto"/>
        <w:jc w:val="center"/>
        <w:rPr>
          <w:rFonts w:ascii="宋体" w:hAnsi="宋体" w:eastAsia="宋体" w:cs="宋体"/>
          <w:bCs w:val="0"/>
          <w:sz w:val="24"/>
          <w:szCs w:val="24"/>
        </w:rPr>
      </w:pPr>
      <w:bookmarkStart w:id="530" w:name="_Toc16175996"/>
      <w:bookmarkStart w:id="531" w:name="_Toc3631"/>
      <w:bookmarkStart w:id="532" w:name="_Toc447265324"/>
      <w:bookmarkStart w:id="533" w:name="_Toc447265610"/>
      <w:r>
        <w:rPr>
          <w:rFonts w:hint="eastAsia" w:ascii="宋体" w:hAnsi="宋体" w:eastAsia="宋体" w:cs="宋体"/>
          <w:bCs w:val="0"/>
          <w:sz w:val="24"/>
          <w:szCs w:val="24"/>
        </w:rPr>
        <w:t>六、近三年业绩情况表</w:t>
      </w:r>
      <w:bookmarkEnd w:id="530"/>
      <w:bookmarkEnd w:id="531"/>
    </w:p>
    <w:p>
      <w:pPr>
        <w:pStyle w:val="21"/>
        <w:ind w:firstLine="0" w:firstLineChars="0"/>
        <w:jc w:val="center"/>
        <w:rPr>
          <w:rFonts w:ascii="宋体"/>
          <w:b/>
          <w:sz w:val="24"/>
        </w:rPr>
      </w:pPr>
    </w:p>
    <w:p>
      <w:pPr>
        <w:spacing w:line="360" w:lineRule="auto"/>
        <w:rPr>
          <w:rFonts w:ascii="宋体" w:cs="宋体"/>
          <w:szCs w:val="21"/>
          <w:u w:val="single"/>
        </w:rPr>
      </w:pPr>
      <w:r>
        <w:rPr>
          <w:rFonts w:hint="eastAsia" w:ascii="宋体" w:hAnsi="宋体" w:cs="宋体"/>
          <w:szCs w:val="21"/>
        </w:rPr>
        <w:t>项目名称：招标编号：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340"/>
        <w:gridCol w:w="2006"/>
        <w:gridCol w:w="1838"/>
        <w:gridCol w:w="1336"/>
        <w:gridCol w:w="1671"/>
        <w:gridCol w:w="1670"/>
        <w:gridCol w:w="1278"/>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noWrap/>
            <w:vAlign w:val="center"/>
          </w:tcPr>
          <w:p>
            <w:pPr>
              <w:jc w:val="center"/>
              <w:rPr>
                <w:rFonts w:ascii="宋体" w:cs="宋体"/>
                <w:szCs w:val="21"/>
              </w:rPr>
            </w:pPr>
            <w:r>
              <w:rPr>
                <w:rFonts w:hint="eastAsia" w:ascii="宋体" w:hAnsi="宋体" w:cs="宋体"/>
                <w:szCs w:val="21"/>
              </w:rPr>
              <w:t>序号</w:t>
            </w:r>
          </w:p>
        </w:tc>
        <w:tc>
          <w:tcPr>
            <w:tcW w:w="2340" w:type="dxa"/>
            <w:noWrap/>
            <w:vAlign w:val="center"/>
          </w:tcPr>
          <w:p>
            <w:pPr>
              <w:jc w:val="center"/>
              <w:rPr>
                <w:rFonts w:ascii="宋体" w:cs="宋体"/>
                <w:szCs w:val="21"/>
              </w:rPr>
            </w:pPr>
            <w:r>
              <w:rPr>
                <w:rFonts w:hint="eastAsia" w:ascii="宋体" w:hAnsi="宋体" w:cs="宋体"/>
                <w:szCs w:val="21"/>
              </w:rPr>
              <w:t>业绩名称</w:t>
            </w:r>
          </w:p>
        </w:tc>
        <w:tc>
          <w:tcPr>
            <w:tcW w:w="2006" w:type="dxa"/>
            <w:noWrap/>
            <w:vAlign w:val="center"/>
          </w:tcPr>
          <w:p>
            <w:pPr>
              <w:jc w:val="center"/>
              <w:rPr>
                <w:rFonts w:ascii="宋体" w:cs="宋体"/>
                <w:szCs w:val="21"/>
              </w:rPr>
            </w:pPr>
            <w:r>
              <w:rPr>
                <w:rFonts w:hint="eastAsia" w:ascii="宋体" w:hAnsi="宋体" w:cs="宋体"/>
                <w:szCs w:val="21"/>
              </w:rPr>
              <w:t>业绩简介</w:t>
            </w:r>
          </w:p>
        </w:tc>
        <w:tc>
          <w:tcPr>
            <w:tcW w:w="1838" w:type="dxa"/>
            <w:noWrap/>
            <w:vAlign w:val="center"/>
          </w:tcPr>
          <w:p>
            <w:pPr>
              <w:jc w:val="center"/>
              <w:rPr>
                <w:rFonts w:ascii="宋体" w:cs="宋体"/>
                <w:szCs w:val="21"/>
              </w:rPr>
            </w:pPr>
            <w:r>
              <w:rPr>
                <w:rFonts w:hint="eastAsia" w:ascii="宋体" w:hAnsi="宋体" w:cs="宋体"/>
                <w:szCs w:val="21"/>
              </w:rPr>
              <w:t>合同签订时间</w:t>
            </w:r>
          </w:p>
        </w:tc>
        <w:tc>
          <w:tcPr>
            <w:tcW w:w="1336" w:type="dxa"/>
            <w:noWrap/>
            <w:vAlign w:val="center"/>
          </w:tcPr>
          <w:p>
            <w:pPr>
              <w:jc w:val="center"/>
              <w:rPr>
                <w:rFonts w:ascii="宋体" w:cs="宋体"/>
                <w:szCs w:val="21"/>
              </w:rPr>
            </w:pPr>
            <w:r>
              <w:rPr>
                <w:rFonts w:hint="eastAsia" w:ascii="宋体" w:hAnsi="宋体" w:cs="宋体"/>
                <w:szCs w:val="21"/>
              </w:rPr>
              <w:t>合同金额（万元）</w:t>
            </w:r>
          </w:p>
        </w:tc>
        <w:tc>
          <w:tcPr>
            <w:tcW w:w="1671" w:type="dxa"/>
            <w:noWrap/>
            <w:vAlign w:val="center"/>
          </w:tcPr>
          <w:p>
            <w:pPr>
              <w:jc w:val="center"/>
              <w:rPr>
                <w:rFonts w:ascii="宋体" w:cs="宋体"/>
                <w:szCs w:val="21"/>
              </w:rPr>
            </w:pPr>
            <w:r>
              <w:rPr>
                <w:rFonts w:hint="eastAsia" w:ascii="宋体" w:hAnsi="宋体" w:cs="宋体"/>
                <w:szCs w:val="21"/>
              </w:rPr>
              <w:t>合同中标方</w:t>
            </w:r>
          </w:p>
        </w:tc>
        <w:tc>
          <w:tcPr>
            <w:tcW w:w="1670" w:type="dxa"/>
            <w:noWrap/>
            <w:vAlign w:val="center"/>
          </w:tcPr>
          <w:p>
            <w:pPr>
              <w:jc w:val="center"/>
              <w:rPr>
                <w:rFonts w:ascii="宋体" w:cs="宋体"/>
                <w:szCs w:val="21"/>
              </w:rPr>
            </w:pPr>
            <w:r>
              <w:rPr>
                <w:rFonts w:hint="eastAsia" w:ascii="宋体" w:hAnsi="宋体" w:cs="宋体"/>
                <w:szCs w:val="21"/>
              </w:rPr>
              <w:t>合同招标方</w:t>
            </w:r>
          </w:p>
        </w:tc>
        <w:tc>
          <w:tcPr>
            <w:tcW w:w="1278" w:type="dxa"/>
            <w:noWrap/>
            <w:vAlign w:val="center"/>
          </w:tcPr>
          <w:p>
            <w:pPr>
              <w:jc w:val="center"/>
              <w:rPr>
                <w:rFonts w:ascii="宋体" w:cs="宋体"/>
                <w:szCs w:val="21"/>
              </w:rPr>
            </w:pPr>
            <w:r>
              <w:rPr>
                <w:rFonts w:hint="eastAsia" w:ascii="宋体" w:hAnsi="宋体" w:cs="宋体"/>
                <w:szCs w:val="21"/>
              </w:rPr>
              <w:t>项目完成情况</w:t>
            </w:r>
          </w:p>
        </w:tc>
        <w:tc>
          <w:tcPr>
            <w:tcW w:w="1278" w:type="dxa"/>
            <w:noWrap/>
            <w:vAlign w:val="center"/>
          </w:tcPr>
          <w:p>
            <w:pPr>
              <w:jc w:val="center"/>
              <w:rPr>
                <w:rFonts w:asci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36" w:type="dxa"/>
            <w:noWrap/>
          </w:tcPr>
          <w:p>
            <w:pPr>
              <w:spacing w:beforeLines="50" w:line="520" w:lineRule="exact"/>
              <w:jc w:val="center"/>
              <w:rPr>
                <w:rFonts w:ascii="宋体" w:cs="宋体"/>
                <w:szCs w:val="21"/>
              </w:rPr>
            </w:pPr>
          </w:p>
        </w:tc>
        <w:tc>
          <w:tcPr>
            <w:tcW w:w="2340" w:type="dxa"/>
            <w:noWrap/>
          </w:tcPr>
          <w:p>
            <w:pPr>
              <w:spacing w:beforeLines="50" w:line="520" w:lineRule="exact"/>
              <w:jc w:val="center"/>
              <w:rPr>
                <w:rFonts w:ascii="宋体" w:cs="宋体"/>
                <w:szCs w:val="21"/>
              </w:rPr>
            </w:pPr>
          </w:p>
        </w:tc>
        <w:tc>
          <w:tcPr>
            <w:tcW w:w="2006" w:type="dxa"/>
            <w:noWrap/>
          </w:tcPr>
          <w:p>
            <w:pPr>
              <w:spacing w:beforeLines="50" w:line="520" w:lineRule="exact"/>
              <w:jc w:val="center"/>
              <w:rPr>
                <w:rFonts w:ascii="宋体" w:cs="宋体"/>
                <w:szCs w:val="21"/>
              </w:rPr>
            </w:pPr>
          </w:p>
        </w:tc>
        <w:tc>
          <w:tcPr>
            <w:tcW w:w="1838" w:type="dxa"/>
            <w:noWrap/>
          </w:tcPr>
          <w:p>
            <w:pPr>
              <w:spacing w:beforeLines="50" w:line="520" w:lineRule="exact"/>
              <w:jc w:val="center"/>
              <w:rPr>
                <w:rFonts w:ascii="宋体" w:cs="宋体"/>
                <w:szCs w:val="21"/>
              </w:rPr>
            </w:pPr>
          </w:p>
        </w:tc>
        <w:tc>
          <w:tcPr>
            <w:tcW w:w="1336" w:type="dxa"/>
            <w:noWrap/>
          </w:tcPr>
          <w:p>
            <w:pPr>
              <w:spacing w:beforeLines="50" w:line="520" w:lineRule="exact"/>
              <w:jc w:val="center"/>
              <w:rPr>
                <w:rFonts w:ascii="宋体" w:cs="宋体"/>
                <w:szCs w:val="21"/>
              </w:rPr>
            </w:pPr>
          </w:p>
        </w:tc>
        <w:tc>
          <w:tcPr>
            <w:tcW w:w="1671" w:type="dxa"/>
            <w:noWrap/>
          </w:tcPr>
          <w:p>
            <w:pPr>
              <w:spacing w:beforeLines="50" w:line="520" w:lineRule="exact"/>
              <w:jc w:val="center"/>
              <w:rPr>
                <w:rFonts w:ascii="宋体" w:cs="宋体"/>
                <w:szCs w:val="21"/>
              </w:rPr>
            </w:pPr>
          </w:p>
        </w:tc>
        <w:tc>
          <w:tcPr>
            <w:tcW w:w="1670" w:type="dxa"/>
            <w:noWrap/>
          </w:tcPr>
          <w:p>
            <w:pPr>
              <w:spacing w:beforeLines="50" w:line="520" w:lineRule="exact"/>
              <w:jc w:val="center"/>
              <w:rPr>
                <w:rFonts w:ascii="宋体" w:cs="宋体"/>
                <w:szCs w:val="21"/>
              </w:rPr>
            </w:pPr>
          </w:p>
        </w:tc>
        <w:tc>
          <w:tcPr>
            <w:tcW w:w="1278" w:type="dxa"/>
            <w:noWrap/>
            <w:vAlign w:val="center"/>
          </w:tcPr>
          <w:p>
            <w:pPr>
              <w:spacing w:beforeLines="50" w:line="520" w:lineRule="exact"/>
              <w:jc w:val="center"/>
              <w:rPr>
                <w:rFonts w:ascii="宋体" w:cs="宋体"/>
                <w:szCs w:val="21"/>
              </w:rPr>
            </w:pPr>
          </w:p>
        </w:tc>
        <w:tc>
          <w:tcPr>
            <w:tcW w:w="1278" w:type="dxa"/>
            <w:noWrap/>
          </w:tcPr>
          <w:p>
            <w:pPr>
              <w:spacing w:beforeLines="50" w:line="520" w:lineRule="exact"/>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6" w:type="dxa"/>
            <w:noWrap/>
          </w:tcPr>
          <w:p>
            <w:pPr>
              <w:spacing w:beforeLines="50" w:line="520" w:lineRule="exact"/>
              <w:jc w:val="center"/>
              <w:rPr>
                <w:rFonts w:ascii="宋体" w:cs="宋体"/>
                <w:szCs w:val="21"/>
              </w:rPr>
            </w:pPr>
          </w:p>
        </w:tc>
        <w:tc>
          <w:tcPr>
            <w:tcW w:w="2340" w:type="dxa"/>
            <w:noWrap/>
          </w:tcPr>
          <w:p>
            <w:pPr>
              <w:spacing w:beforeLines="50" w:line="520" w:lineRule="exact"/>
              <w:jc w:val="center"/>
              <w:rPr>
                <w:rFonts w:ascii="宋体" w:cs="宋体"/>
                <w:szCs w:val="21"/>
              </w:rPr>
            </w:pPr>
          </w:p>
        </w:tc>
        <w:tc>
          <w:tcPr>
            <w:tcW w:w="2006" w:type="dxa"/>
            <w:noWrap/>
          </w:tcPr>
          <w:p>
            <w:pPr>
              <w:spacing w:beforeLines="50" w:line="520" w:lineRule="exact"/>
              <w:jc w:val="center"/>
              <w:rPr>
                <w:rFonts w:ascii="宋体" w:cs="宋体"/>
                <w:szCs w:val="21"/>
              </w:rPr>
            </w:pPr>
          </w:p>
        </w:tc>
        <w:tc>
          <w:tcPr>
            <w:tcW w:w="1838" w:type="dxa"/>
            <w:noWrap/>
          </w:tcPr>
          <w:p>
            <w:pPr>
              <w:spacing w:beforeLines="50" w:line="520" w:lineRule="exact"/>
              <w:jc w:val="center"/>
              <w:rPr>
                <w:rFonts w:ascii="宋体" w:cs="宋体"/>
                <w:szCs w:val="21"/>
              </w:rPr>
            </w:pPr>
          </w:p>
        </w:tc>
        <w:tc>
          <w:tcPr>
            <w:tcW w:w="1336" w:type="dxa"/>
            <w:noWrap/>
          </w:tcPr>
          <w:p>
            <w:pPr>
              <w:spacing w:beforeLines="50" w:line="520" w:lineRule="exact"/>
              <w:jc w:val="center"/>
              <w:rPr>
                <w:rFonts w:ascii="宋体" w:cs="宋体"/>
                <w:szCs w:val="21"/>
              </w:rPr>
            </w:pPr>
          </w:p>
        </w:tc>
        <w:tc>
          <w:tcPr>
            <w:tcW w:w="1671" w:type="dxa"/>
            <w:noWrap/>
          </w:tcPr>
          <w:p>
            <w:pPr>
              <w:spacing w:beforeLines="50" w:line="520" w:lineRule="exact"/>
              <w:jc w:val="center"/>
              <w:rPr>
                <w:rFonts w:ascii="宋体" w:cs="宋体"/>
                <w:szCs w:val="21"/>
              </w:rPr>
            </w:pPr>
          </w:p>
        </w:tc>
        <w:tc>
          <w:tcPr>
            <w:tcW w:w="1670" w:type="dxa"/>
            <w:noWrap/>
          </w:tcPr>
          <w:p>
            <w:pPr>
              <w:spacing w:beforeLines="50" w:line="520" w:lineRule="exact"/>
              <w:jc w:val="center"/>
              <w:rPr>
                <w:rFonts w:ascii="宋体" w:cs="宋体"/>
                <w:szCs w:val="21"/>
              </w:rPr>
            </w:pPr>
          </w:p>
        </w:tc>
        <w:tc>
          <w:tcPr>
            <w:tcW w:w="1278" w:type="dxa"/>
            <w:noWrap/>
            <w:vAlign w:val="center"/>
          </w:tcPr>
          <w:p>
            <w:pPr>
              <w:spacing w:beforeLines="50" w:line="520" w:lineRule="exact"/>
              <w:jc w:val="center"/>
              <w:rPr>
                <w:rFonts w:ascii="宋体" w:cs="宋体"/>
                <w:szCs w:val="21"/>
              </w:rPr>
            </w:pPr>
          </w:p>
        </w:tc>
        <w:tc>
          <w:tcPr>
            <w:tcW w:w="1278" w:type="dxa"/>
            <w:noWrap/>
          </w:tcPr>
          <w:p>
            <w:pPr>
              <w:spacing w:beforeLines="50" w:line="520" w:lineRule="exact"/>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6" w:type="dxa"/>
            <w:noWrap/>
          </w:tcPr>
          <w:p>
            <w:pPr>
              <w:spacing w:beforeLines="50" w:line="520" w:lineRule="exact"/>
              <w:jc w:val="center"/>
              <w:rPr>
                <w:rFonts w:ascii="宋体" w:cs="宋体"/>
                <w:szCs w:val="21"/>
              </w:rPr>
            </w:pPr>
          </w:p>
        </w:tc>
        <w:tc>
          <w:tcPr>
            <w:tcW w:w="2340" w:type="dxa"/>
            <w:noWrap/>
          </w:tcPr>
          <w:p>
            <w:pPr>
              <w:spacing w:beforeLines="50" w:line="520" w:lineRule="exact"/>
              <w:jc w:val="center"/>
              <w:rPr>
                <w:rFonts w:ascii="宋体" w:cs="宋体"/>
                <w:szCs w:val="21"/>
              </w:rPr>
            </w:pPr>
          </w:p>
        </w:tc>
        <w:tc>
          <w:tcPr>
            <w:tcW w:w="2006" w:type="dxa"/>
            <w:noWrap/>
          </w:tcPr>
          <w:p>
            <w:pPr>
              <w:spacing w:beforeLines="50" w:line="520" w:lineRule="exact"/>
              <w:jc w:val="center"/>
              <w:rPr>
                <w:rFonts w:ascii="宋体" w:cs="宋体"/>
                <w:szCs w:val="21"/>
              </w:rPr>
            </w:pPr>
          </w:p>
        </w:tc>
        <w:tc>
          <w:tcPr>
            <w:tcW w:w="1838" w:type="dxa"/>
            <w:noWrap/>
          </w:tcPr>
          <w:p>
            <w:pPr>
              <w:spacing w:beforeLines="50" w:line="520" w:lineRule="exact"/>
              <w:jc w:val="center"/>
              <w:rPr>
                <w:rFonts w:ascii="宋体" w:cs="宋体"/>
                <w:szCs w:val="21"/>
              </w:rPr>
            </w:pPr>
          </w:p>
        </w:tc>
        <w:tc>
          <w:tcPr>
            <w:tcW w:w="1336" w:type="dxa"/>
            <w:noWrap/>
          </w:tcPr>
          <w:p>
            <w:pPr>
              <w:spacing w:beforeLines="50" w:line="520" w:lineRule="exact"/>
              <w:jc w:val="center"/>
              <w:rPr>
                <w:rFonts w:ascii="宋体" w:cs="宋体"/>
                <w:szCs w:val="21"/>
              </w:rPr>
            </w:pPr>
          </w:p>
        </w:tc>
        <w:tc>
          <w:tcPr>
            <w:tcW w:w="1671" w:type="dxa"/>
            <w:noWrap/>
          </w:tcPr>
          <w:p>
            <w:pPr>
              <w:spacing w:beforeLines="50" w:line="520" w:lineRule="exact"/>
              <w:jc w:val="center"/>
              <w:rPr>
                <w:rFonts w:ascii="宋体" w:cs="宋体"/>
                <w:szCs w:val="21"/>
              </w:rPr>
            </w:pPr>
          </w:p>
        </w:tc>
        <w:tc>
          <w:tcPr>
            <w:tcW w:w="1670" w:type="dxa"/>
            <w:noWrap/>
          </w:tcPr>
          <w:p>
            <w:pPr>
              <w:spacing w:beforeLines="50" w:line="520" w:lineRule="exact"/>
              <w:jc w:val="center"/>
              <w:rPr>
                <w:rFonts w:ascii="宋体" w:cs="宋体"/>
                <w:szCs w:val="21"/>
              </w:rPr>
            </w:pPr>
          </w:p>
        </w:tc>
        <w:tc>
          <w:tcPr>
            <w:tcW w:w="1278" w:type="dxa"/>
            <w:noWrap/>
            <w:vAlign w:val="center"/>
          </w:tcPr>
          <w:p>
            <w:pPr>
              <w:spacing w:beforeLines="50" w:line="520" w:lineRule="exact"/>
              <w:jc w:val="center"/>
              <w:rPr>
                <w:rFonts w:ascii="宋体" w:cs="宋体"/>
                <w:szCs w:val="21"/>
              </w:rPr>
            </w:pPr>
          </w:p>
        </w:tc>
        <w:tc>
          <w:tcPr>
            <w:tcW w:w="1278" w:type="dxa"/>
            <w:noWrap/>
          </w:tcPr>
          <w:p>
            <w:pPr>
              <w:spacing w:beforeLines="50" w:line="520" w:lineRule="exact"/>
              <w:jc w:val="center"/>
              <w:rPr>
                <w:rFonts w:ascii="宋体" w:cs="宋体"/>
                <w:szCs w:val="21"/>
              </w:rPr>
            </w:pPr>
          </w:p>
        </w:tc>
      </w:tr>
    </w:tbl>
    <w:p>
      <w:pPr>
        <w:spacing w:line="400" w:lineRule="exact"/>
        <w:jc w:val="left"/>
        <w:rPr>
          <w:rFonts w:ascii="宋体" w:cs="宋体"/>
          <w:szCs w:val="21"/>
        </w:rPr>
      </w:pPr>
      <w:r>
        <w:rPr>
          <w:rFonts w:hint="eastAsia" w:ascii="宋体" w:hAnsi="宋体" w:cs="宋体"/>
          <w:szCs w:val="21"/>
        </w:rPr>
        <w:t>注：</w:t>
      </w:r>
      <w:r>
        <w:rPr>
          <w:rFonts w:ascii="宋体" w:hAnsi="宋体" w:cs="宋体"/>
          <w:szCs w:val="21"/>
        </w:rPr>
        <w:t>1.</w:t>
      </w:r>
      <w:r>
        <w:rPr>
          <w:rFonts w:hint="eastAsia" w:ascii="宋体" w:hAnsi="宋体" w:cs="宋体"/>
          <w:szCs w:val="21"/>
        </w:rPr>
        <w:t>投标人应当如实填写本表并后附相关业绩证明材料复印件。</w:t>
      </w:r>
    </w:p>
    <w:p>
      <w:pPr>
        <w:spacing w:line="40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合同需包含关键页（合同服务内容、实施时间、合同金额、合同签字盖章页）。</w:t>
      </w:r>
    </w:p>
    <w:p>
      <w:pPr>
        <w:pStyle w:val="21"/>
        <w:topLinePunct/>
        <w:adjustRightInd w:val="0"/>
        <w:snapToGrid w:val="0"/>
        <w:spacing w:line="440" w:lineRule="exact"/>
        <w:ind w:left="1575" w:firstLine="0" w:firstLineChars="0"/>
        <w:rPr>
          <w:rFonts w:ascii="宋体"/>
          <w:bCs/>
          <w:szCs w:val="21"/>
        </w:rPr>
      </w:pPr>
    </w:p>
    <w:p>
      <w:pPr>
        <w:pStyle w:val="21"/>
        <w:topLinePunct/>
        <w:adjustRightInd w:val="0"/>
        <w:snapToGrid w:val="0"/>
        <w:spacing w:line="440" w:lineRule="exact"/>
        <w:ind w:left="1575" w:firstLine="0" w:firstLineChars="0"/>
        <w:rPr>
          <w:rFonts w:ascii="宋体"/>
          <w:bCs/>
          <w:szCs w:val="21"/>
        </w:rPr>
      </w:pPr>
    </w:p>
    <w:p>
      <w:pPr>
        <w:pStyle w:val="21"/>
        <w:wordWrap w:val="0"/>
        <w:adjustRightInd w:val="0"/>
        <w:snapToGrid w:val="0"/>
        <w:spacing w:line="440" w:lineRule="exact"/>
        <w:ind w:left="1575" w:right="420" w:firstLine="0" w:firstLineChars="0"/>
        <w:jc w:val="right"/>
        <w:rPr>
          <w:rFonts w:ascii="宋体"/>
          <w:szCs w:val="21"/>
        </w:rPr>
      </w:pPr>
      <w:r>
        <w:rPr>
          <w:rFonts w:hint="eastAsia" w:ascii="宋体" w:hAnsi="宋体"/>
          <w:szCs w:val="21"/>
        </w:rPr>
        <w:t>投标人：（盖单位公章）</w:t>
      </w:r>
    </w:p>
    <w:p>
      <w:pPr>
        <w:pStyle w:val="21"/>
        <w:adjustRightInd w:val="0"/>
        <w:snapToGrid w:val="0"/>
        <w:spacing w:line="440" w:lineRule="exact"/>
        <w:ind w:left="1575" w:right="420" w:firstLine="0" w:firstLineChars="0"/>
        <w:jc w:val="right"/>
        <w:rPr>
          <w:rFonts w:ascii="宋体"/>
          <w:szCs w:val="21"/>
        </w:rPr>
      </w:pPr>
      <w:r>
        <w:rPr>
          <w:rFonts w:hint="eastAsia" w:ascii="宋体" w:hAnsi="宋体"/>
          <w:szCs w:val="21"/>
        </w:rPr>
        <w:t>法定代表人或者授权委托人：（签字或盖章）</w:t>
      </w:r>
    </w:p>
    <w:p>
      <w:pPr>
        <w:pStyle w:val="21"/>
        <w:topLinePunct/>
        <w:adjustRightInd w:val="0"/>
        <w:snapToGrid w:val="0"/>
        <w:spacing w:line="440" w:lineRule="exact"/>
        <w:ind w:left="1575" w:firstLine="0" w:firstLineChars="0"/>
        <w:rPr>
          <w:rFonts w:ascii="宋体"/>
          <w:szCs w:val="21"/>
        </w:rPr>
        <w:sectPr>
          <w:headerReference r:id="rId11" w:type="default"/>
          <w:pgSz w:w="16838" w:h="11906" w:orient="landscape"/>
          <w:pgMar w:top="1797" w:right="1440" w:bottom="1797" w:left="1440" w:header="851" w:footer="992" w:gutter="0"/>
          <w:pgNumType w:fmt="numberInDash"/>
          <w:cols w:space="720" w:num="1"/>
          <w:docGrid w:type="lines" w:linePitch="312" w:charSpace="0"/>
        </w:sectPr>
      </w:pPr>
      <w:r>
        <w:rPr>
          <w:rFonts w:hint="eastAsia" w:ascii="宋体" w:hAnsi="宋体"/>
          <w:szCs w:val="21"/>
        </w:rPr>
        <w:t>年月日</w:t>
      </w:r>
    </w:p>
    <w:bookmarkEnd w:id="532"/>
    <w:bookmarkEnd w:id="533"/>
    <w:p>
      <w:pPr>
        <w:pStyle w:val="3"/>
        <w:snapToGrid w:val="0"/>
        <w:spacing w:before="240" w:after="120" w:line="240" w:lineRule="auto"/>
        <w:jc w:val="center"/>
        <w:rPr>
          <w:rFonts w:ascii="宋体" w:hAnsi="宋体" w:eastAsia="宋体" w:cs="宋体"/>
          <w:bCs w:val="0"/>
          <w:sz w:val="24"/>
          <w:szCs w:val="24"/>
        </w:rPr>
      </w:pPr>
      <w:bookmarkStart w:id="534" w:name="_Toc16037"/>
      <w:bookmarkStart w:id="535" w:name="_Toc16175998"/>
      <w:bookmarkStart w:id="536" w:name="_Toc421654533"/>
      <w:r>
        <w:rPr>
          <w:rFonts w:hint="eastAsia" w:ascii="宋体" w:hAnsi="宋体" w:eastAsia="宋体" w:cs="宋体"/>
          <w:bCs w:val="0"/>
          <w:sz w:val="24"/>
          <w:szCs w:val="24"/>
        </w:rPr>
        <w:t>七、其他相关证明材料</w:t>
      </w:r>
      <w:bookmarkEnd w:id="534"/>
      <w:bookmarkEnd w:id="535"/>
      <w:bookmarkEnd w:id="536"/>
    </w:p>
    <w:p>
      <w:pPr>
        <w:pStyle w:val="21"/>
        <w:ind w:firstLine="0" w:firstLineChars="0"/>
        <w:jc w:val="center"/>
        <w:rPr>
          <w:rFonts w:ascii="宋体"/>
          <w:b/>
          <w:sz w:val="24"/>
        </w:rPr>
      </w:pPr>
    </w:p>
    <w:p>
      <w:pPr>
        <w:topLinePunct/>
        <w:adjustRightInd w:val="0"/>
        <w:snapToGrid w:val="0"/>
        <w:spacing w:line="360" w:lineRule="auto"/>
        <w:jc w:val="center"/>
        <w:outlineLvl w:val="0"/>
        <w:rPr>
          <w:rFonts w:ascii="宋体" w:cs="宋体"/>
          <w:b/>
          <w:bCs/>
          <w:szCs w:val="21"/>
        </w:rPr>
      </w:pPr>
      <w:bookmarkStart w:id="537" w:name="_Toc26988"/>
      <w:r>
        <w:rPr>
          <w:rFonts w:hint="eastAsia" w:ascii="宋体" w:hAnsi="宋体" w:cs="宋体"/>
          <w:b/>
          <w:bCs/>
          <w:szCs w:val="21"/>
        </w:rPr>
        <w:t>（投标人认为对其有利的其他书面证明材料）</w:t>
      </w:r>
      <w:bookmarkEnd w:id="537"/>
    </w:p>
    <w:p>
      <w:pPr>
        <w:pStyle w:val="21"/>
        <w:ind w:firstLine="0" w:firstLineChars="0"/>
        <w:jc w:val="center"/>
        <w:rPr>
          <w:rFonts w:ascii="宋体"/>
          <w:b/>
          <w:sz w:val="24"/>
        </w:rPr>
      </w:pPr>
    </w:p>
    <w:p>
      <w:pPr>
        <w:spacing w:line="360" w:lineRule="auto"/>
        <w:ind w:firstLine="520" w:firstLineChars="200"/>
        <w:rPr>
          <w:rFonts w:ascii="宋体"/>
          <w:spacing w:val="10"/>
          <w:sz w:val="24"/>
        </w:rPr>
      </w:pPr>
    </w:p>
    <w:p/>
    <w:sectPr>
      <w:headerReference r:id="rId12"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420"/>
        <w:tab w:val="center" w:pos="4156"/>
        <w:tab w:val="clear" w:pos="4153"/>
      </w:tabs>
      <w:jc w:val="center"/>
    </w:pPr>
    <w: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path/>
          <v:fill on="f" focussize="0,0"/>
          <v:stroke on="f" joinstyle="miter"/>
          <v:imagedata o:title=""/>
          <o:lock v:ext="edit"/>
          <v:textbox inset="0mm,0mm,0mm,0mm" style="mso-fit-shape-to-text:t;">
            <w:txbxContent>
              <w:p>
                <w:pPr>
                  <w:pStyle w:val="10"/>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420"/>
        <w:tab w:val="center" w:pos="4156"/>
        <w:tab w:val="clear" w:pos="4153"/>
      </w:tabs>
      <w:jc w:val="cente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- 3 -</w:t>
                </w:r>
                <w:r>
                  <w:fldChar w:fldCharType="end"/>
                </w:r>
              </w:p>
            </w:txbxContent>
          </v:textbox>
        </v:shape>
      </w:pic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420"/>
        <w:tab w:val="center" w:pos="4156"/>
        <w:tab w:val="clear" w:pos="4153"/>
      </w:tabs>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path/>
          <v:fill on="f" focussize="0,0"/>
          <v:stroke on="f" joinstyle="miter"/>
          <v:imagedata o:title=""/>
          <o:lock v:ext="edit"/>
          <v:textbox inset="0mm,0mm,0mm,0mm" style="mso-fit-shape-to-text:t;">
            <w:txbxContent>
              <w:p>
                <w:pPr>
                  <w:pStyle w:val="10"/>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36 -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ascii="隶书" w:eastAsia="隶书"/>
        <w:i/>
      </w:rPr>
      <w:drawing>
        <wp:inline distT="0" distB="0" distL="114300" distR="114300">
          <wp:extent cx="374650" cy="355600"/>
          <wp:effectExtent l="0" t="0" r="6350" b="6350"/>
          <wp:docPr id="1" name="图片 2"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hint="eastAsia" w:ascii="隶书" w:eastAsia="隶书"/>
        <w:i/>
      </w:rPr>
      <w:t>中国地质工程集团有限公司招标文件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540" w:firstLineChars="3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ascii="隶书" w:eastAsia="隶书"/>
        <w:i/>
      </w:rPr>
      <w:drawing>
        <wp:inline distT="0" distB="0" distL="114300" distR="114300">
          <wp:extent cx="309245" cy="293370"/>
          <wp:effectExtent l="0" t="0" r="14605" b="11430"/>
          <wp:docPr id="9" name="图片 3"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CGC Logo"/>
                  <pic:cNvPicPr>
                    <a:picLocks noChangeAspect="1"/>
                  </pic:cNvPicPr>
                </pic:nvPicPr>
                <pic:blipFill>
                  <a:blip r:embed="rId1"/>
                  <a:stretch>
                    <a:fillRect/>
                  </a:stretch>
                </pic:blipFill>
                <pic:spPr>
                  <a:xfrm>
                    <a:off x="0" y="0"/>
                    <a:ext cx="309245" cy="293370"/>
                  </a:xfrm>
                  <a:prstGeom prst="rect">
                    <a:avLst/>
                  </a:prstGeom>
                  <a:noFill/>
                  <a:ln>
                    <a:noFill/>
                  </a:ln>
                </pic:spPr>
              </pic:pic>
            </a:graphicData>
          </a:graphic>
        </wp:inline>
      </w:drawing>
    </w:r>
    <w:r>
      <w:rPr>
        <w:rFonts w:hint="eastAsia" w:ascii="隶书" w:eastAsia="隶书"/>
        <w:i/>
      </w:rPr>
      <w:t>中国地质工程集团有限公司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ascii="隶书" w:eastAsia="隶书"/>
        <w:i/>
      </w:rPr>
      <w:drawing>
        <wp:inline distT="0" distB="0" distL="114300" distR="114300">
          <wp:extent cx="374650" cy="355600"/>
          <wp:effectExtent l="0" t="0" r="6350" b="6350"/>
          <wp:docPr id="6" name="图片 6"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hint="eastAsia" w:ascii="隶书" w:eastAsia="隶书"/>
        <w:i/>
      </w:rPr>
      <w:t>中国地质工程集团有限公司招标文件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ascii="隶书" w:eastAsia="隶书"/>
        <w:i/>
      </w:rPr>
      <w:drawing>
        <wp:inline distT="0" distB="0" distL="114300" distR="114300">
          <wp:extent cx="374650" cy="355600"/>
          <wp:effectExtent l="0" t="0" r="6350" b="6350"/>
          <wp:docPr id="13" name="图片 7"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hint="eastAsia" w:ascii="隶书" w:eastAsia="隶书"/>
        <w:i/>
      </w:rPr>
      <w:t>中国地质工程集团有限公司招标文件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ascii="隶书" w:eastAsia="隶书"/>
        <w:i/>
      </w:rPr>
      <w:drawing>
        <wp:inline distT="0" distB="0" distL="114300" distR="114300">
          <wp:extent cx="374650" cy="355600"/>
          <wp:effectExtent l="0" t="0" r="6350" b="6350"/>
          <wp:docPr id="3" name="图片 8"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hint="eastAsia" w:ascii="隶书" w:eastAsia="隶书"/>
        <w:i/>
      </w:rPr>
      <w:t>中国地质工程集团有限公司招标文件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9B119"/>
    <w:multiLevelType w:val="singleLevel"/>
    <w:tmpl w:val="8D59B119"/>
    <w:lvl w:ilvl="0" w:tentative="0">
      <w:start w:val="7"/>
      <w:numFmt w:val="decimal"/>
      <w:lvlText w:val="(%1)"/>
      <w:lvlJc w:val="left"/>
      <w:pPr>
        <w:tabs>
          <w:tab w:val="left" w:pos="312"/>
        </w:tabs>
        <w:ind w:left="360" w:leftChars="0" w:firstLine="0" w:firstLineChars="0"/>
      </w:pPr>
    </w:lvl>
  </w:abstractNum>
  <w:abstractNum w:abstractNumId="1">
    <w:nsid w:val="C2D8FAE0"/>
    <w:multiLevelType w:val="singleLevel"/>
    <w:tmpl w:val="C2D8FAE0"/>
    <w:lvl w:ilvl="0" w:tentative="0">
      <w:start w:val="1"/>
      <w:numFmt w:val="chineseCounting"/>
      <w:suff w:val="nothing"/>
      <w:lvlText w:val="%1、"/>
      <w:lvlJc w:val="left"/>
      <w:pPr>
        <w:ind w:left="0" w:firstLine="420"/>
      </w:pPr>
      <w:rPr>
        <w:rFonts w:hint="eastAsia"/>
      </w:rPr>
    </w:lvl>
  </w:abstractNum>
  <w:abstractNum w:abstractNumId="2">
    <w:nsid w:val="C3BD6A3A"/>
    <w:multiLevelType w:val="singleLevel"/>
    <w:tmpl w:val="C3BD6A3A"/>
    <w:lvl w:ilvl="0" w:tentative="0">
      <w:start w:val="1"/>
      <w:numFmt w:val="decimal"/>
      <w:suff w:val="nothing"/>
      <w:lvlText w:val="（%1）"/>
      <w:lvlJc w:val="left"/>
    </w:lvl>
  </w:abstractNum>
  <w:abstractNum w:abstractNumId="3">
    <w:nsid w:val="C9D41938"/>
    <w:multiLevelType w:val="singleLevel"/>
    <w:tmpl w:val="C9D41938"/>
    <w:lvl w:ilvl="0" w:tentative="0">
      <w:start w:val="2"/>
      <w:numFmt w:val="chineseCounting"/>
      <w:suff w:val="nothing"/>
      <w:lvlText w:val="（%1）"/>
      <w:lvlJc w:val="left"/>
      <w:pPr>
        <w:ind w:left="480" w:firstLine="0"/>
      </w:pPr>
      <w:rPr>
        <w:rFonts w:hint="eastAsia"/>
      </w:rPr>
    </w:lvl>
  </w:abstractNum>
  <w:abstractNum w:abstractNumId="4">
    <w:nsid w:val="1C8E2B88"/>
    <w:multiLevelType w:val="multilevel"/>
    <w:tmpl w:val="1C8E2B88"/>
    <w:lvl w:ilvl="0" w:tentative="0">
      <w:start w:val="1"/>
      <w:numFmt w:val="decimal"/>
      <w:lvlText w:val="%1、"/>
      <w:lvlJc w:val="left"/>
      <w:pPr>
        <w:ind w:left="624" w:hanging="384"/>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5">
    <w:nsid w:val="5C5A144F"/>
    <w:multiLevelType w:val="singleLevel"/>
    <w:tmpl w:val="5C5A144F"/>
    <w:lvl w:ilvl="0" w:tentative="0">
      <w:start w:val="8"/>
      <w:numFmt w:val="decimal"/>
      <w:suff w:val="nothing"/>
      <w:lvlText w:val="（%1）"/>
      <w:lvlJc w:val="left"/>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comments" w:formatting="1"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AFB1A00"/>
    <w:rsid w:val="001073ED"/>
    <w:rsid w:val="00231B67"/>
    <w:rsid w:val="003771C7"/>
    <w:rsid w:val="004638D5"/>
    <w:rsid w:val="004E1438"/>
    <w:rsid w:val="00543847"/>
    <w:rsid w:val="005C11B0"/>
    <w:rsid w:val="00655237"/>
    <w:rsid w:val="007D3EC3"/>
    <w:rsid w:val="008870C4"/>
    <w:rsid w:val="00894400"/>
    <w:rsid w:val="009053E5"/>
    <w:rsid w:val="00933110"/>
    <w:rsid w:val="00937025"/>
    <w:rsid w:val="00C05F9D"/>
    <w:rsid w:val="00C22BFA"/>
    <w:rsid w:val="00C74C25"/>
    <w:rsid w:val="00C9489E"/>
    <w:rsid w:val="00CB048D"/>
    <w:rsid w:val="00DA5CA9"/>
    <w:rsid w:val="00DB2DA6"/>
    <w:rsid w:val="00EB641F"/>
    <w:rsid w:val="00EE1F47"/>
    <w:rsid w:val="00F0007D"/>
    <w:rsid w:val="00F42FF4"/>
    <w:rsid w:val="04BB212C"/>
    <w:rsid w:val="0D4464AC"/>
    <w:rsid w:val="0E9D0BB2"/>
    <w:rsid w:val="19615029"/>
    <w:rsid w:val="1C0C3F2D"/>
    <w:rsid w:val="230F197D"/>
    <w:rsid w:val="25BE5948"/>
    <w:rsid w:val="2AFB1A00"/>
    <w:rsid w:val="30D4165A"/>
    <w:rsid w:val="35BF7E55"/>
    <w:rsid w:val="42EF7FA9"/>
    <w:rsid w:val="46D35330"/>
    <w:rsid w:val="47986137"/>
    <w:rsid w:val="54A8305C"/>
    <w:rsid w:val="5CC73098"/>
    <w:rsid w:val="60701321"/>
    <w:rsid w:val="61C164A8"/>
    <w:rsid w:val="62CC35C8"/>
    <w:rsid w:val="62FA66FB"/>
    <w:rsid w:val="65062CED"/>
    <w:rsid w:val="6C3C2E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5">
    <w:name w:val="annotation text"/>
    <w:basedOn w:val="1"/>
    <w:qFormat/>
    <w:uiPriority w:val="0"/>
    <w:pPr>
      <w:jc w:val="left"/>
    </w:pPr>
    <w:rPr>
      <w:kern w:val="0"/>
      <w:sz w:val="24"/>
    </w:rPr>
  </w:style>
  <w:style w:type="paragraph" w:styleId="6">
    <w:name w:val="Body Text"/>
    <w:basedOn w:val="1"/>
    <w:next w:val="7"/>
    <w:qFormat/>
    <w:uiPriority w:val="0"/>
    <w:rPr>
      <w:kern w:val="0"/>
      <w:sz w:val="20"/>
      <w:szCs w:val="20"/>
    </w:rPr>
  </w:style>
  <w:style w:type="paragraph" w:customStyle="1" w:styleId="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Plain Text"/>
    <w:basedOn w:val="1"/>
    <w:qFormat/>
    <w:uiPriority w:val="0"/>
    <w:rPr>
      <w:rFonts w:ascii="宋体" w:hAnsi="Courier New"/>
      <w:kern w:val="0"/>
      <w:sz w:val="20"/>
      <w:szCs w:val="20"/>
    </w:rPr>
  </w:style>
  <w:style w:type="paragraph" w:styleId="9">
    <w:name w:val="Balloon Text"/>
    <w:basedOn w:val="1"/>
    <w:link w:val="22"/>
    <w:qFormat/>
    <w:uiPriority w:val="0"/>
    <w:rPr>
      <w:sz w:val="18"/>
      <w:szCs w:val="18"/>
    </w:rPr>
  </w:style>
  <w:style w:type="paragraph" w:styleId="10">
    <w:name w:val="footer"/>
    <w:basedOn w:val="1"/>
    <w:qFormat/>
    <w:uiPriority w:val="99"/>
    <w:pPr>
      <w:tabs>
        <w:tab w:val="center" w:pos="4153"/>
        <w:tab w:val="right" w:pos="8306"/>
      </w:tabs>
      <w:snapToGrid w:val="0"/>
      <w:jc w:val="left"/>
    </w:pPr>
    <w:rPr>
      <w:kern w:val="0"/>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99"/>
    <w:pPr>
      <w:spacing w:before="240" w:after="60"/>
      <w:jc w:val="center"/>
      <w:outlineLvl w:val="0"/>
    </w:pPr>
    <w:rPr>
      <w:rFonts w:ascii="Cambria" w:hAnsi="Cambria"/>
      <w:b/>
      <w:bCs/>
      <w:kern w:val="0"/>
      <w:sz w:val="32"/>
      <w:szCs w:val="32"/>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
    <w:name w:val="bt1bt1"/>
    <w:basedOn w:val="2"/>
    <w:qFormat/>
    <w:uiPriority w:val="99"/>
    <w:pPr>
      <w:spacing w:line="240" w:lineRule="auto"/>
      <w:jc w:val="center"/>
    </w:pPr>
    <w:rPr>
      <w:rFonts w:ascii="黑体" w:eastAsia="黑体"/>
      <w:b w:val="0"/>
      <w:sz w:val="36"/>
      <w:szCs w:val="36"/>
    </w:rPr>
  </w:style>
  <w:style w:type="character" w:customStyle="1" w:styleId="19">
    <w:name w:val="标题 1 字符"/>
    <w:link w:val="2"/>
    <w:qFormat/>
    <w:locked/>
    <w:uiPriority w:val="99"/>
    <w:rPr>
      <w:b/>
      <w:bCs/>
      <w:kern w:val="44"/>
      <w:sz w:val="44"/>
      <w:szCs w:val="44"/>
    </w:rPr>
  </w:style>
  <w:style w:type="character" w:customStyle="1" w:styleId="20">
    <w:name w:val="标题 1 Char"/>
    <w:link w:val="2"/>
    <w:qFormat/>
    <w:locked/>
    <w:uiPriority w:val="99"/>
    <w:rPr>
      <w:b/>
      <w:bCs/>
      <w:kern w:val="44"/>
      <w:sz w:val="44"/>
      <w:szCs w:val="44"/>
    </w:rPr>
  </w:style>
  <w:style w:type="paragraph" w:styleId="21">
    <w:name w:val="List Paragraph"/>
    <w:basedOn w:val="1"/>
    <w:qFormat/>
    <w:uiPriority w:val="99"/>
    <w:pPr>
      <w:ind w:firstLine="420" w:firstLineChars="200"/>
    </w:pPr>
  </w:style>
  <w:style w:type="character" w:customStyle="1" w:styleId="22">
    <w:name w:val="批注框文本 Char"/>
    <w:basedOn w:val="15"/>
    <w:link w:val="9"/>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2"/>
    <customShpInfo spid="_x0000_s2050"/>
    <customShpInfo spid="_x0000_s2051"/>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2256</Words>
  <Characters>12863</Characters>
  <Lines>107</Lines>
  <Paragraphs>30</Paragraphs>
  <TotalTime>89</TotalTime>
  <ScaleCrop>false</ScaleCrop>
  <LinksUpToDate>false</LinksUpToDate>
  <CharactersWithSpaces>15089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2021-03-16T08:23:00Z</dcterms:created>
  <dc:creator>丁立伟</dc:creator>
  <cp:lastModifiedBy>张麟04</cp:lastModifiedBy>
  <dcterms:modified xsi:type="dcterms:W3CDTF">2021-04-02T02:18:13Z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E10B9B7100194E1A926555E8597BA289</vt:lpwstr>
  </property>
</Properties>
</file>