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cs="宋体"/>
          <w:b/>
          <w:kern w:val="0"/>
          <w:sz w:val="10"/>
          <w:szCs w:val="10"/>
        </w:rPr>
      </w:pPr>
      <w:r>
        <w:rPr>
          <w:rFonts w:hint="eastAsia" w:ascii="宋体" w:hAnsi="宋体" w:eastAsia="宋体"/>
          <w:b/>
          <w:sz w:val="44"/>
        </w:rPr>
        <w:drawing>
          <wp:inline distT="0" distB="0" distL="114300" distR="114300">
            <wp:extent cx="2863215" cy="537845"/>
            <wp:effectExtent l="0" t="0" r="0" b="0"/>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16"/>
                    <a:srcRect l="21262" t="5313"/>
                    <a:stretch>
                      <a:fillRect/>
                    </a:stretch>
                  </pic:blipFill>
                  <pic:spPr>
                    <a:xfrm>
                      <a:off x="0" y="0"/>
                      <a:ext cx="2863215" cy="537845"/>
                    </a:xfrm>
                    <a:prstGeom prst="rect">
                      <a:avLst/>
                    </a:prstGeom>
                    <a:noFill/>
                    <a:ln>
                      <a:noFill/>
                    </a:ln>
                  </pic:spPr>
                </pic:pic>
              </a:graphicData>
            </a:graphic>
          </wp:inline>
        </w:drawing>
      </w:r>
    </w:p>
    <w:p>
      <w:pPr>
        <w:spacing w:line="360" w:lineRule="auto"/>
        <w:ind w:left="1130" w:leftChars="300" w:hanging="500" w:hangingChars="500"/>
        <w:jc w:val="center"/>
        <w:rPr>
          <w:rFonts w:hint="eastAsia" w:ascii="黑体" w:hAnsi="黑体" w:eastAsia="黑体" w:cs="宋体"/>
          <w:b/>
          <w:kern w:val="0"/>
          <w:sz w:val="10"/>
          <w:szCs w:val="10"/>
        </w:rPr>
      </w:pPr>
    </w:p>
    <w:p>
      <w:pPr>
        <w:spacing w:after="120" w:line="360" w:lineRule="atLeast"/>
        <w:rPr>
          <w:rFonts w:hint="eastAsia" w:ascii="宋体" w:hAnsi="宋体" w:cs="Arial"/>
          <w:b/>
          <w:sz w:val="50"/>
          <w:szCs w:val="50"/>
          <w:u w:val="single"/>
        </w:rPr>
      </w:pPr>
    </w:p>
    <w:p>
      <w:pPr>
        <w:pStyle w:val="2"/>
        <w:rPr>
          <w:rFonts w:hint="eastAsia"/>
        </w:rPr>
      </w:pPr>
    </w:p>
    <w:p>
      <w:pPr>
        <w:spacing w:after="120" w:line="360" w:lineRule="atLeast"/>
        <w:jc w:val="center"/>
        <w:rPr>
          <w:rStyle w:val="47"/>
          <w:kern w:val="0"/>
        </w:rPr>
      </w:pPr>
      <w:bookmarkStart w:id="0" w:name="_Hlk83391726"/>
      <w:r>
        <w:rPr>
          <w:rFonts w:hint="eastAsia" w:ascii="宋体" w:hAnsi="宋体" w:cs="Arial"/>
          <w:b/>
          <w:sz w:val="50"/>
          <w:szCs w:val="50"/>
        </w:rPr>
        <w:t>S103济枣线</w:t>
      </w:r>
      <w:bookmarkStart w:id="1" w:name="_Hlk83391777"/>
      <w:r>
        <w:rPr>
          <w:rFonts w:hint="eastAsia" w:ascii="宋体" w:hAnsi="宋体" w:cs="Arial"/>
          <w:b/>
          <w:sz w:val="50"/>
          <w:szCs w:val="50"/>
        </w:rPr>
        <w:t>山亭区凫城</w:t>
      </w:r>
      <w:bookmarkEnd w:id="1"/>
      <w:r>
        <w:rPr>
          <w:rFonts w:hint="eastAsia" w:ascii="宋体" w:hAnsi="宋体" w:cs="Arial"/>
          <w:b/>
          <w:sz w:val="50"/>
          <w:szCs w:val="50"/>
        </w:rPr>
        <w:t>至市中区曾店段改建工程</w:t>
      </w:r>
      <w:bookmarkEnd w:id="0"/>
      <w:r>
        <w:rPr>
          <w:rFonts w:hint="eastAsia" w:ascii="宋体" w:hAnsi="宋体" w:cs="Arial"/>
          <w:b/>
          <w:sz w:val="50"/>
          <w:szCs w:val="50"/>
        </w:rPr>
        <w:t>钢材采购</w:t>
      </w:r>
    </w:p>
    <w:p>
      <w:pPr>
        <w:spacing w:after="120" w:line="360" w:lineRule="atLeast"/>
        <w:jc w:val="center"/>
        <w:rPr>
          <w:rFonts w:hint="eastAsia" w:ascii="宋体" w:hAnsi="宋体" w:cs="Arial"/>
          <w:b/>
          <w:sz w:val="50"/>
          <w:szCs w:val="50"/>
        </w:rPr>
      </w:pPr>
    </w:p>
    <w:p>
      <w:pPr>
        <w:spacing w:line="360" w:lineRule="auto"/>
        <w:jc w:val="center"/>
        <w:rPr>
          <w:rFonts w:ascii="黑体" w:hAnsi="黑体" w:eastAsia="黑体" w:cs="宋体"/>
          <w:b/>
          <w:kern w:val="0"/>
          <w:sz w:val="84"/>
          <w:szCs w:val="84"/>
        </w:rPr>
      </w:pPr>
      <w:r>
        <w:rPr>
          <w:rFonts w:hint="eastAsia" w:ascii="黑体" w:hAnsi="黑体" w:eastAsia="黑体" w:cs="宋体"/>
          <w:b/>
          <w:kern w:val="0"/>
          <w:sz w:val="84"/>
          <w:szCs w:val="84"/>
        </w:rPr>
        <w:t>招</w:t>
      </w:r>
      <w:r>
        <w:rPr>
          <w:rFonts w:ascii="黑体" w:hAnsi="黑体" w:eastAsia="黑体" w:cs="宋体"/>
          <w:b/>
          <w:kern w:val="0"/>
          <w:sz w:val="84"/>
          <w:szCs w:val="84"/>
        </w:rPr>
        <w:t xml:space="preserve"> </w:t>
      </w:r>
      <w:r>
        <w:rPr>
          <w:rFonts w:hint="eastAsia" w:ascii="黑体" w:hAnsi="黑体" w:eastAsia="黑体" w:cs="宋体"/>
          <w:b/>
          <w:kern w:val="0"/>
          <w:sz w:val="84"/>
          <w:szCs w:val="84"/>
        </w:rPr>
        <w:t>标</w:t>
      </w:r>
      <w:r>
        <w:rPr>
          <w:rFonts w:ascii="黑体" w:hAnsi="黑体" w:eastAsia="黑体" w:cs="宋体"/>
          <w:b/>
          <w:kern w:val="0"/>
          <w:sz w:val="84"/>
          <w:szCs w:val="84"/>
        </w:rPr>
        <w:t xml:space="preserve"> </w:t>
      </w:r>
      <w:r>
        <w:rPr>
          <w:rFonts w:hint="eastAsia" w:ascii="黑体" w:hAnsi="黑体" w:eastAsia="黑体" w:cs="宋体"/>
          <w:b/>
          <w:kern w:val="0"/>
          <w:sz w:val="84"/>
          <w:szCs w:val="84"/>
        </w:rPr>
        <w:t>文</w:t>
      </w:r>
      <w:r>
        <w:rPr>
          <w:rFonts w:ascii="黑体" w:hAnsi="黑体" w:eastAsia="黑体" w:cs="宋体"/>
          <w:b/>
          <w:kern w:val="0"/>
          <w:sz w:val="84"/>
          <w:szCs w:val="84"/>
        </w:rPr>
        <w:t xml:space="preserve"> </w:t>
      </w:r>
      <w:r>
        <w:rPr>
          <w:rFonts w:hint="eastAsia" w:ascii="黑体" w:hAnsi="黑体" w:eastAsia="黑体" w:cs="宋体"/>
          <w:b/>
          <w:kern w:val="0"/>
          <w:sz w:val="84"/>
          <w:szCs w:val="84"/>
        </w:rPr>
        <w:t>件</w:t>
      </w:r>
    </w:p>
    <w:p>
      <w:pPr>
        <w:spacing w:after="120" w:line="360" w:lineRule="atLeast"/>
        <w:rPr>
          <w:rFonts w:ascii="宋体" w:cs="宋体"/>
          <w:b/>
          <w:sz w:val="32"/>
          <w:szCs w:val="32"/>
        </w:rPr>
      </w:pPr>
    </w:p>
    <w:p>
      <w:pPr>
        <w:spacing w:after="120" w:line="360" w:lineRule="atLeast"/>
        <w:ind w:firstLine="2100" w:firstLineChars="700"/>
        <w:rPr>
          <w:rFonts w:ascii="宋体" w:cs="宋体"/>
          <w:b/>
          <w:sz w:val="32"/>
          <w:szCs w:val="32"/>
        </w:rPr>
      </w:pPr>
      <w:r>
        <w:rPr>
          <w:rFonts w:hint="eastAsia" w:ascii="宋体" w:hAnsi="宋体"/>
          <w:b/>
          <w:sz w:val="30"/>
          <w:szCs w:val="30"/>
        </w:rPr>
        <w:t>招标编号：CGC2021-JS-CL-14</w:t>
      </w:r>
    </w:p>
    <w:p>
      <w:pPr>
        <w:spacing w:after="120" w:line="360" w:lineRule="atLeast"/>
        <w:jc w:val="center"/>
        <w:rPr>
          <w:rFonts w:ascii="宋体" w:cs="宋体"/>
          <w:b/>
          <w:sz w:val="32"/>
          <w:szCs w:val="32"/>
        </w:rPr>
      </w:pPr>
    </w:p>
    <w:p>
      <w:pPr>
        <w:spacing w:after="120" w:line="360" w:lineRule="atLeast"/>
        <w:jc w:val="center"/>
        <w:rPr>
          <w:rFonts w:ascii="宋体" w:cs="宋体"/>
          <w:b/>
          <w:sz w:val="32"/>
          <w:szCs w:val="32"/>
        </w:rPr>
      </w:pPr>
    </w:p>
    <w:p>
      <w:pPr>
        <w:spacing w:line="480" w:lineRule="auto"/>
        <w:ind w:firstLine="846" w:firstLineChars="282"/>
        <w:rPr>
          <w:rFonts w:ascii="宋体"/>
          <w:b/>
          <w:sz w:val="30"/>
          <w:szCs w:val="30"/>
        </w:rPr>
      </w:pPr>
      <w:r>
        <w:rPr>
          <w:rFonts w:hint="eastAsia" w:ascii="宋体" w:hAnsi="宋体"/>
          <w:b/>
          <w:sz w:val="30"/>
          <w:szCs w:val="30"/>
        </w:rPr>
        <w:t>招</w:t>
      </w:r>
      <w:r>
        <w:rPr>
          <w:rFonts w:ascii="宋体" w:hAnsi="宋体"/>
          <w:b/>
          <w:sz w:val="30"/>
          <w:szCs w:val="30"/>
        </w:rPr>
        <w:t xml:space="preserve">   </w:t>
      </w:r>
      <w:r>
        <w:rPr>
          <w:rFonts w:hint="eastAsia" w:ascii="宋体" w:hAnsi="宋体"/>
          <w:b/>
          <w:sz w:val="30"/>
          <w:szCs w:val="30"/>
        </w:rPr>
        <w:t>标</w:t>
      </w:r>
      <w:r>
        <w:rPr>
          <w:rFonts w:ascii="宋体" w:hAnsi="宋体"/>
          <w:b/>
          <w:sz w:val="30"/>
          <w:szCs w:val="30"/>
        </w:rPr>
        <w:t xml:space="preserve">   </w:t>
      </w:r>
      <w:r>
        <w:rPr>
          <w:rFonts w:hint="eastAsia" w:ascii="宋体" w:hAnsi="宋体"/>
          <w:b/>
          <w:sz w:val="30"/>
          <w:szCs w:val="30"/>
        </w:rPr>
        <w:t>人：</w:t>
      </w:r>
      <w:r>
        <w:rPr>
          <w:rFonts w:hint="eastAsia" w:ascii="宋体" w:hAnsi="宋体"/>
          <w:b/>
          <w:sz w:val="30"/>
          <w:szCs w:val="30"/>
          <w:u w:val="single"/>
        </w:rPr>
        <w:t>中国地质工程集团有限公司</w:t>
      </w:r>
      <w:r>
        <w:rPr>
          <w:rFonts w:hint="eastAsia" w:ascii="宋体" w:hAnsi="宋体"/>
          <w:b/>
          <w:sz w:val="30"/>
          <w:szCs w:val="30"/>
        </w:rPr>
        <w:t>（盖章）</w:t>
      </w:r>
    </w:p>
    <w:p>
      <w:pPr>
        <w:spacing w:line="480" w:lineRule="auto"/>
        <w:rPr>
          <w:rFonts w:ascii="宋体"/>
          <w:b/>
          <w:sz w:val="30"/>
          <w:szCs w:val="30"/>
        </w:rPr>
      </w:pPr>
    </w:p>
    <w:p>
      <w:pPr>
        <w:spacing w:line="480" w:lineRule="auto"/>
        <w:rPr>
          <w:rFonts w:ascii="宋体"/>
          <w:b/>
          <w:sz w:val="30"/>
          <w:szCs w:val="30"/>
        </w:rPr>
      </w:pPr>
    </w:p>
    <w:p>
      <w:pPr>
        <w:spacing w:after="120" w:line="360" w:lineRule="atLeast"/>
        <w:jc w:val="center"/>
        <w:rPr>
          <w:rFonts w:ascii="宋体" w:cs="宋体"/>
          <w:sz w:val="24"/>
        </w:rPr>
      </w:pPr>
      <w:r>
        <w:rPr>
          <w:rFonts w:hint="eastAsia" w:ascii="宋体" w:hAnsi="宋体"/>
          <w:b/>
          <w:sz w:val="30"/>
          <w:szCs w:val="30"/>
        </w:rPr>
        <w:t>二〇二一年十</w:t>
      </w:r>
      <w:r>
        <w:rPr>
          <w:rFonts w:hint="eastAsia" w:ascii="宋体" w:hAnsi="宋体"/>
          <w:b/>
          <w:sz w:val="30"/>
          <w:szCs w:val="30"/>
          <w:lang w:val="en-US" w:eastAsia="zh-CN"/>
        </w:rPr>
        <w:t>一</w:t>
      </w:r>
      <w:r>
        <w:rPr>
          <w:rFonts w:hint="eastAsia" w:ascii="宋体" w:hAnsi="宋体"/>
          <w:b/>
          <w:sz w:val="30"/>
          <w:szCs w:val="30"/>
        </w:rPr>
        <w:t>月</w:t>
      </w:r>
    </w:p>
    <w:p>
      <w:pPr>
        <w:spacing w:after="120" w:line="360" w:lineRule="atLeast"/>
        <w:jc w:val="center"/>
        <w:rPr>
          <w:rFonts w:hint="eastAsia" w:ascii="宋体" w:hAnsi="宋体" w:cs="宋体"/>
          <w:b/>
          <w:sz w:val="24"/>
        </w:rPr>
      </w:pPr>
    </w:p>
    <w:p>
      <w:pPr>
        <w:spacing w:after="120" w:line="360" w:lineRule="atLeast"/>
        <w:jc w:val="center"/>
        <w:rPr>
          <w:rFonts w:ascii="宋体" w:cs="宋体"/>
          <w:b/>
          <w:sz w:val="24"/>
        </w:rPr>
      </w:pPr>
      <w:r>
        <w:rPr>
          <w:rFonts w:hint="eastAsia" w:ascii="宋体" w:hAnsi="宋体" w:cs="宋体"/>
          <w:b/>
          <w:sz w:val="24"/>
        </w:rPr>
        <w:t>目</w:t>
      </w:r>
      <w:r>
        <w:rPr>
          <w:rFonts w:ascii="宋体" w:hAnsi="宋体" w:cs="宋体"/>
          <w:b/>
          <w:sz w:val="24"/>
        </w:rPr>
        <w:t xml:space="preserve">  </w:t>
      </w:r>
      <w:r>
        <w:rPr>
          <w:rFonts w:hint="eastAsia" w:ascii="宋体" w:hAnsi="宋体" w:cs="宋体"/>
          <w:b/>
          <w:sz w:val="24"/>
        </w:rPr>
        <w:t>录</w:t>
      </w:r>
    </w:p>
    <w:p>
      <w:pPr>
        <w:spacing w:after="120" w:line="360" w:lineRule="atLeast"/>
        <w:jc w:val="center"/>
        <w:rPr>
          <w:rFonts w:ascii="宋体" w:cs="宋体"/>
          <w:b/>
          <w:sz w:val="24"/>
        </w:rPr>
      </w:pPr>
    </w:p>
    <w:p>
      <w:pPr>
        <w:pStyle w:val="92"/>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r>
        <w:rPr>
          <w:rFonts w:hint="eastAsia" w:ascii="宋体" w:hAnsi="宋体" w:cs="宋体"/>
          <w:sz w:val="24"/>
          <w:szCs w:val="24"/>
        </w:rPr>
        <w:fldChar w:fldCharType="begin"/>
      </w:r>
      <w:r>
        <w:rPr>
          <w:rFonts w:hint="eastAsia" w:ascii="宋体" w:hAnsi="宋体" w:cs="宋体"/>
          <w:sz w:val="24"/>
          <w:szCs w:val="24"/>
        </w:rPr>
        <w:instrText xml:space="preserve"> HYPERLINK \l _Toc17938 </w:instrText>
      </w:r>
      <w:r>
        <w:rPr>
          <w:rFonts w:hint="eastAsia" w:ascii="宋体" w:hAnsi="宋体" w:cs="宋体"/>
          <w:sz w:val="24"/>
          <w:szCs w:val="24"/>
        </w:rP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_Toc17938 </w:instrText>
      </w:r>
      <w:r>
        <w:rPr>
          <w:rFonts w:hint="eastAsia" w:ascii="宋体" w:hAnsi="宋体" w:cs="宋体"/>
          <w:sz w:val="24"/>
          <w:szCs w:val="24"/>
        </w:rPr>
        <w:fldChar w:fldCharType="separate"/>
      </w:r>
      <w:r>
        <w:rPr>
          <w:rFonts w:hint="eastAsia" w:ascii="宋体" w:hAnsi="宋体" w:cs="宋体"/>
          <w:sz w:val="24"/>
          <w:szCs w:val="24"/>
        </w:rPr>
        <w:t>- 3 -</w:t>
      </w:r>
      <w:r>
        <w:rPr>
          <w:rFonts w:hint="eastAsia" w:ascii="宋体" w:hAnsi="宋体" w:cs="宋体"/>
          <w:sz w:val="24"/>
          <w:szCs w:val="24"/>
        </w:rPr>
        <w:fldChar w:fldCharType="end"/>
      </w:r>
      <w:r>
        <w:rPr>
          <w:rFonts w:hint="eastAsia" w:ascii="宋体" w:hAnsi="宋体" w:cs="宋体"/>
          <w:sz w:val="24"/>
          <w:szCs w:val="24"/>
        </w:rPr>
        <w:fldChar w:fldCharType="end"/>
      </w:r>
    </w:p>
    <w:p>
      <w:pPr>
        <w:pStyle w:val="92"/>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_Toc24186 </w:instrText>
      </w:r>
      <w:r>
        <w:rPr>
          <w:rFonts w:hint="eastAsia" w:ascii="宋体" w:hAnsi="宋体" w:cs="宋体"/>
          <w:sz w:val="24"/>
          <w:szCs w:val="24"/>
        </w:rPr>
        <w:fldChar w:fldCharType="separate"/>
      </w:r>
      <w:r>
        <w:rPr>
          <w:rFonts w:hint="eastAsia" w:ascii="宋体" w:hAnsi="宋体" w:cs="宋体"/>
          <w:bCs/>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_Toc24186 </w:instrText>
      </w:r>
      <w:r>
        <w:rPr>
          <w:rFonts w:hint="eastAsia" w:ascii="宋体" w:hAnsi="宋体" w:cs="宋体"/>
          <w:sz w:val="24"/>
          <w:szCs w:val="24"/>
        </w:rPr>
        <w:fldChar w:fldCharType="separate"/>
      </w:r>
      <w:r>
        <w:rPr>
          <w:rFonts w:hint="eastAsia" w:ascii="宋体" w:hAnsi="宋体" w:cs="宋体"/>
          <w:sz w:val="24"/>
          <w:szCs w:val="24"/>
        </w:rPr>
        <w:t>- 4 -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_Toc4189 </w:instrText>
      </w:r>
      <w:r>
        <w:rPr>
          <w:rFonts w:hint="eastAsia" w:ascii="宋体" w:hAnsi="宋体" w:cs="宋体"/>
          <w:sz w:val="24"/>
          <w:szCs w:val="24"/>
        </w:rPr>
        <w:fldChar w:fldCharType="separate"/>
      </w:r>
      <w:r>
        <w:rPr>
          <w:rFonts w:hint="eastAsia" w:ascii="宋体" w:hAnsi="宋体" w:cs="宋体"/>
          <w:bCs/>
          <w:sz w:val="24"/>
          <w:szCs w:val="24"/>
        </w:rPr>
        <w:t>投标人须知前附表</w:t>
      </w:r>
      <w:r>
        <w:rPr>
          <w:rFonts w:hint="eastAsia" w:ascii="宋体" w:hAnsi="宋体" w:cs="宋体"/>
          <w:sz w:val="24"/>
          <w:szCs w:val="24"/>
        </w:rPr>
        <w:tab/>
      </w:r>
      <w:bookmarkStart w:id="2" w:name="_Hlt41635670"/>
      <w:bookmarkStart w:id="3" w:name="_Hlt41635669"/>
      <w:r>
        <w:rPr>
          <w:rFonts w:hint="eastAsia" w:ascii="宋体" w:hAnsi="宋体" w:cs="宋体"/>
          <w:sz w:val="24"/>
          <w:szCs w:val="24"/>
        </w:rPr>
        <w:fldChar w:fldCharType="begin"/>
      </w:r>
      <w:r>
        <w:rPr>
          <w:rFonts w:hint="eastAsia" w:ascii="宋体" w:hAnsi="宋体" w:cs="宋体"/>
          <w:sz w:val="24"/>
          <w:szCs w:val="24"/>
        </w:rPr>
        <w:instrText xml:space="preserve"> PAGEREF _Toc4189 </w:instrText>
      </w:r>
      <w:r>
        <w:rPr>
          <w:rFonts w:hint="eastAsia" w:ascii="宋体" w:hAnsi="宋体" w:cs="宋体"/>
          <w:sz w:val="24"/>
          <w:szCs w:val="24"/>
        </w:rPr>
        <w:fldChar w:fldCharType="separate"/>
      </w:r>
      <w:r>
        <w:rPr>
          <w:rFonts w:hint="eastAsia" w:ascii="宋体" w:hAnsi="宋体" w:cs="宋体"/>
          <w:sz w:val="24"/>
          <w:szCs w:val="24"/>
        </w:rPr>
        <w:t>- 4 -</w:t>
      </w:r>
      <w:r>
        <w:rPr>
          <w:rFonts w:hint="eastAsia" w:ascii="宋体" w:hAnsi="宋体" w:cs="宋体"/>
          <w:sz w:val="24"/>
          <w:szCs w:val="24"/>
        </w:rPr>
        <w:fldChar w:fldCharType="end"/>
      </w:r>
      <w:bookmarkEnd w:id="2"/>
      <w:bookmarkEnd w:id="3"/>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_Toc15360 </w:instrText>
      </w:r>
      <w:r>
        <w:rPr>
          <w:rFonts w:hint="eastAsia" w:ascii="宋体" w:hAnsi="宋体" w:cs="宋体"/>
          <w:sz w:val="24"/>
          <w:szCs w:val="24"/>
        </w:rPr>
        <w:fldChar w:fldCharType="separate"/>
      </w:r>
      <w:r>
        <w:rPr>
          <w:rFonts w:hint="eastAsia" w:ascii="宋体" w:hAnsi="宋体" w:cs="宋体"/>
          <w:bCs/>
          <w:sz w:val="24"/>
          <w:szCs w:val="24"/>
        </w:rPr>
        <w:t>投标人须知</w:t>
      </w:r>
      <w:r>
        <w:rPr>
          <w:rFonts w:hint="eastAsia" w:ascii="宋体" w:hAnsi="宋体" w:cs="宋体"/>
          <w:sz w:val="24"/>
          <w:szCs w:val="24"/>
        </w:rPr>
        <w:tab/>
      </w:r>
      <w:bookmarkStart w:id="4" w:name="_Hlt41637206"/>
      <w:r>
        <w:rPr>
          <w:rFonts w:hint="eastAsia" w:ascii="宋体" w:hAnsi="宋体" w:cs="宋体"/>
          <w:sz w:val="24"/>
          <w:szCs w:val="24"/>
        </w:rPr>
        <w:fldChar w:fldCharType="begin"/>
      </w:r>
      <w:r>
        <w:rPr>
          <w:rFonts w:hint="eastAsia" w:ascii="宋体" w:hAnsi="宋体" w:cs="宋体"/>
          <w:sz w:val="24"/>
          <w:szCs w:val="24"/>
        </w:rPr>
        <w:instrText xml:space="preserve"> PAGEREF _Toc15360 </w:instrText>
      </w:r>
      <w:r>
        <w:rPr>
          <w:rFonts w:hint="eastAsia" w:ascii="宋体" w:hAnsi="宋体" w:cs="宋体"/>
          <w:sz w:val="24"/>
          <w:szCs w:val="24"/>
        </w:rPr>
        <w:fldChar w:fldCharType="separate"/>
      </w:r>
      <w:r>
        <w:rPr>
          <w:rFonts w:hint="eastAsia" w:ascii="宋体" w:hAnsi="宋体" w:cs="宋体"/>
          <w:sz w:val="24"/>
          <w:szCs w:val="24"/>
        </w:rPr>
        <w:t>- 7 -</w:t>
      </w:r>
      <w:r>
        <w:rPr>
          <w:rFonts w:hint="eastAsia" w:ascii="宋体" w:hAnsi="宋体" w:cs="宋体"/>
          <w:sz w:val="24"/>
          <w:szCs w:val="24"/>
        </w:rPr>
        <w:fldChar w:fldCharType="end"/>
      </w:r>
      <w:bookmarkEnd w:id="4"/>
      <w:r>
        <w:rPr>
          <w:rFonts w:hint="eastAsia" w:ascii="宋体" w:hAnsi="宋体" w:cs="宋体"/>
          <w:sz w:val="24"/>
          <w:szCs w:val="24"/>
        </w:rPr>
        <w:fldChar w:fldCharType="end"/>
      </w:r>
    </w:p>
    <w:p>
      <w:pPr>
        <w:pStyle w:val="92"/>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_Toc32110 </w:instrText>
      </w:r>
      <w:r>
        <w:rPr>
          <w:rFonts w:hint="eastAsia" w:ascii="宋体" w:hAnsi="宋体" w:cs="宋体"/>
          <w:sz w:val="24"/>
          <w:szCs w:val="24"/>
        </w:rPr>
        <w:fldChar w:fldCharType="separate"/>
      </w:r>
      <w:r>
        <w:rPr>
          <w:rFonts w:hint="eastAsia" w:ascii="宋体" w:hAnsi="宋体" w:cs="宋体"/>
          <w:sz w:val="24"/>
          <w:szCs w:val="24"/>
        </w:rPr>
        <w:t>第三章  评标办法（综合评标法）</w:t>
      </w:r>
      <w:r>
        <w:rPr>
          <w:rFonts w:hint="eastAsia" w:ascii="宋体" w:hAnsi="宋体" w:cs="宋体"/>
          <w:sz w:val="24"/>
          <w:szCs w:val="24"/>
        </w:rPr>
        <w:tab/>
      </w:r>
      <w:bookmarkStart w:id="5" w:name="_Hlt41654647"/>
      <w:r>
        <w:rPr>
          <w:rFonts w:hint="eastAsia" w:ascii="宋体" w:hAnsi="宋体" w:cs="宋体"/>
          <w:sz w:val="24"/>
          <w:szCs w:val="24"/>
        </w:rPr>
        <w:fldChar w:fldCharType="begin"/>
      </w:r>
      <w:r>
        <w:rPr>
          <w:rFonts w:hint="eastAsia" w:ascii="宋体" w:hAnsi="宋体" w:cs="宋体"/>
          <w:sz w:val="24"/>
          <w:szCs w:val="24"/>
        </w:rPr>
        <w:instrText xml:space="preserve"> PAGEREF _Toc32110 </w:instrText>
      </w:r>
      <w:r>
        <w:rPr>
          <w:rFonts w:hint="eastAsia" w:ascii="宋体" w:hAnsi="宋体" w:cs="宋体"/>
          <w:sz w:val="24"/>
          <w:szCs w:val="24"/>
        </w:rPr>
        <w:fldChar w:fldCharType="separate"/>
      </w:r>
      <w:r>
        <w:rPr>
          <w:rFonts w:hint="eastAsia" w:ascii="宋体" w:hAnsi="宋体" w:cs="宋体"/>
          <w:sz w:val="24"/>
          <w:szCs w:val="24"/>
        </w:rPr>
        <w:t>- 14 -</w:t>
      </w:r>
      <w:r>
        <w:rPr>
          <w:rFonts w:hint="eastAsia" w:ascii="宋体" w:hAnsi="宋体" w:cs="宋体"/>
          <w:sz w:val="24"/>
          <w:szCs w:val="24"/>
        </w:rPr>
        <w:fldChar w:fldCharType="end"/>
      </w:r>
      <w:bookmarkEnd w:id="5"/>
      <w:r>
        <w:rPr>
          <w:rFonts w:hint="eastAsia" w:ascii="宋体" w:hAnsi="宋体" w:cs="宋体"/>
          <w:sz w:val="24"/>
          <w:szCs w:val="24"/>
        </w:rPr>
        <w:fldChar w:fldCharType="end"/>
      </w:r>
    </w:p>
    <w:p>
      <w:pPr>
        <w:pStyle w:val="92"/>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_Toc26684 </w:instrText>
      </w:r>
      <w:r>
        <w:rPr>
          <w:rFonts w:hint="eastAsia" w:ascii="宋体" w:hAnsi="宋体" w:cs="宋体"/>
          <w:sz w:val="24"/>
          <w:szCs w:val="24"/>
        </w:rPr>
        <w:fldChar w:fldCharType="separate"/>
      </w:r>
      <w:r>
        <w:rPr>
          <w:rFonts w:hint="eastAsia" w:ascii="宋体" w:hAnsi="宋体" w:cs="宋体"/>
          <w:bCs/>
          <w:sz w:val="24"/>
          <w:szCs w:val="24"/>
        </w:rPr>
        <w:t>第四章  招标人需求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_Toc26684 </w:instrText>
      </w:r>
      <w:r>
        <w:rPr>
          <w:rFonts w:hint="eastAsia" w:ascii="宋体" w:hAnsi="宋体" w:cs="宋体"/>
          <w:sz w:val="24"/>
          <w:szCs w:val="24"/>
        </w:rPr>
        <w:fldChar w:fldCharType="separate"/>
      </w:r>
      <w:r>
        <w:rPr>
          <w:rFonts w:hint="eastAsia" w:ascii="宋体" w:hAnsi="宋体" w:cs="宋体"/>
          <w:sz w:val="24"/>
          <w:szCs w:val="24"/>
        </w:rPr>
        <w:t>- 17 -</w:t>
      </w:r>
      <w:r>
        <w:rPr>
          <w:rFonts w:hint="eastAsia" w:ascii="宋体" w:hAnsi="宋体" w:cs="宋体"/>
          <w:sz w:val="24"/>
          <w:szCs w:val="24"/>
        </w:rPr>
        <w:fldChar w:fldCharType="end"/>
      </w:r>
      <w:r>
        <w:rPr>
          <w:rFonts w:hint="eastAsia" w:ascii="宋体" w:hAnsi="宋体" w:cs="宋体"/>
          <w:sz w:val="24"/>
          <w:szCs w:val="24"/>
        </w:rPr>
        <w:fldChar w:fldCharType="end"/>
      </w:r>
    </w:p>
    <w:p>
      <w:pPr>
        <w:pStyle w:val="92"/>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_Toc25677 </w:instrText>
      </w:r>
      <w:r>
        <w:rPr>
          <w:rFonts w:hint="eastAsia" w:ascii="宋体" w:hAnsi="宋体" w:cs="宋体"/>
          <w:sz w:val="24"/>
          <w:szCs w:val="24"/>
        </w:rPr>
        <w:fldChar w:fldCharType="separate"/>
      </w:r>
      <w:r>
        <w:rPr>
          <w:rFonts w:hint="eastAsia" w:ascii="宋体" w:hAnsi="宋体" w:cs="宋体"/>
          <w:bCs/>
          <w:sz w:val="24"/>
          <w:szCs w:val="24"/>
        </w:rPr>
        <w:t>第五章  合同条款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_Toc25677 </w:instrText>
      </w:r>
      <w:r>
        <w:rPr>
          <w:rFonts w:hint="eastAsia" w:ascii="宋体" w:hAnsi="宋体" w:cs="宋体"/>
          <w:sz w:val="24"/>
          <w:szCs w:val="24"/>
        </w:rPr>
        <w:fldChar w:fldCharType="separate"/>
      </w:r>
      <w:r>
        <w:rPr>
          <w:rFonts w:hint="eastAsia" w:ascii="宋体" w:hAnsi="宋体" w:cs="宋体"/>
          <w:sz w:val="24"/>
          <w:szCs w:val="24"/>
        </w:rPr>
        <w:t>- 1</w:t>
      </w:r>
      <w:r>
        <w:rPr>
          <w:rFonts w:hint="eastAsia" w:ascii="宋体" w:hAnsi="宋体" w:cs="宋体"/>
          <w:sz w:val="24"/>
          <w:szCs w:val="24"/>
          <w:lang w:val="en-US" w:eastAsia="zh-CN"/>
        </w:rPr>
        <w:t>9</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92"/>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_Toc11951 </w:instrText>
      </w:r>
      <w:r>
        <w:rPr>
          <w:rFonts w:hint="eastAsia" w:ascii="宋体" w:hAnsi="宋体" w:cs="宋体"/>
          <w:sz w:val="24"/>
          <w:szCs w:val="24"/>
        </w:rPr>
        <w:fldChar w:fldCharType="separate"/>
      </w:r>
      <w:r>
        <w:rPr>
          <w:rFonts w:hint="eastAsia" w:ascii="宋体" w:hAnsi="宋体" w:cs="宋体"/>
          <w:bCs/>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_Toc11951 </w:instrText>
      </w:r>
      <w:r>
        <w:rPr>
          <w:rFonts w:hint="eastAsia" w:ascii="宋体" w:hAnsi="宋体" w:cs="宋体"/>
          <w:sz w:val="24"/>
          <w:szCs w:val="24"/>
        </w:rPr>
        <w:fldChar w:fldCharType="separate"/>
      </w:r>
      <w:r>
        <w:rPr>
          <w:rFonts w:hint="eastAsia" w:ascii="宋体" w:hAnsi="宋体" w:cs="宋体"/>
          <w:sz w:val="24"/>
          <w:szCs w:val="24"/>
        </w:rPr>
        <w:t>- 2</w:t>
      </w:r>
      <w:r>
        <w:rPr>
          <w:rFonts w:hint="eastAsia" w:ascii="宋体" w:hAnsi="宋体" w:cs="宋体"/>
          <w:sz w:val="24"/>
          <w:szCs w:val="24"/>
          <w:lang w:val="en-US" w:eastAsia="zh-CN"/>
        </w:rPr>
        <w:t>1</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_Toc6908 </w:instrText>
      </w:r>
      <w:r>
        <w:rPr>
          <w:rFonts w:hint="eastAsia" w:ascii="宋体" w:hAnsi="宋体" w:cs="宋体"/>
          <w:sz w:val="24"/>
          <w:szCs w:val="24"/>
        </w:rPr>
        <w:fldChar w:fldCharType="separate"/>
      </w:r>
      <w:r>
        <w:rPr>
          <w:rFonts w:hint="eastAsia" w:ascii="宋体" w:hAnsi="宋体" w:cs="宋体"/>
          <w:sz w:val="24"/>
          <w:szCs w:val="24"/>
        </w:rPr>
        <w:t>一、投 标 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_Toc6908 </w:instrText>
      </w:r>
      <w:r>
        <w:rPr>
          <w:rFonts w:hint="eastAsia" w:ascii="宋体" w:hAnsi="宋体" w:cs="宋体"/>
          <w:sz w:val="24"/>
          <w:szCs w:val="24"/>
        </w:rPr>
        <w:fldChar w:fldCharType="separate"/>
      </w:r>
      <w:r>
        <w:rPr>
          <w:rFonts w:hint="eastAsia" w:ascii="宋体" w:hAnsi="宋体" w:cs="宋体"/>
          <w:sz w:val="24"/>
          <w:szCs w:val="24"/>
        </w:rPr>
        <w:t>- 2</w:t>
      </w:r>
      <w:r>
        <w:rPr>
          <w:rFonts w:hint="eastAsia" w:ascii="宋体" w:hAnsi="宋体" w:cs="宋体"/>
          <w:sz w:val="24"/>
          <w:szCs w:val="24"/>
          <w:lang w:val="en-US" w:eastAsia="zh-CN"/>
        </w:rPr>
        <w:t>3</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_Toc19420 </w:instrText>
      </w:r>
      <w:r>
        <w:rPr>
          <w:rFonts w:hint="eastAsia" w:ascii="宋体" w:hAnsi="宋体" w:cs="宋体"/>
          <w:sz w:val="24"/>
          <w:szCs w:val="24"/>
        </w:rPr>
        <w:fldChar w:fldCharType="separate"/>
      </w:r>
      <w:r>
        <w:rPr>
          <w:rFonts w:hint="eastAsia" w:ascii="宋体" w:hAnsi="宋体" w:cs="宋体"/>
          <w:sz w:val="24"/>
          <w:szCs w:val="24"/>
        </w:rPr>
        <w:t>二、法定代表人身份证明</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_Toc19420 </w:instrText>
      </w:r>
      <w:r>
        <w:rPr>
          <w:rFonts w:hint="eastAsia" w:ascii="宋体" w:hAnsi="宋体" w:cs="宋体"/>
          <w:sz w:val="24"/>
          <w:szCs w:val="24"/>
        </w:rPr>
        <w:fldChar w:fldCharType="separate"/>
      </w:r>
      <w:r>
        <w:rPr>
          <w:rFonts w:hint="eastAsia" w:ascii="宋体" w:hAnsi="宋体" w:cs="宋体"/>
          <w:sz w:val="24"/>
          <w:szCs w:val="24"/>
        </w:rPr>
        <w:t>- 2</w:t>
      </w:r>
      <w:r>
        <w:rPr>
          <w:rFonts w:hint="eastAsia" w:ascii="宋体" w:hAnsi="宋体" w:cs="宋体"/>
          <w:sz w:val="24"/>
          <w:szCs w:val="24"/>
          <w:lang w:val="en-US" w:eastAsia="zh-CN"/>
        </w:rPr>
        <w:t>4</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_Toc6694 </w:instrText>
      </w:r>
      <w:r>
        <w:rPr>
          <w:rFonts w:hint="eastAsia" w:ascii="宋体" w:hAnsi="宋体" w:cs="宋体"/>
          <w:sz w:val="24"/>
          <w:szCs w:val="24"/>
        </w:rPr>
        <w:fldChar w:fldCharType="separate"/>
      </w:r>
      <w:r>
        <w:rPr>
          <w:rFonts w:hint="eastAsia" w:ascii="宋体" w:hAnsi="宋体" w:cs="宋体"/>
          <w:sz w:val="24"/>
          <w:szCs w:val="24"/>
        </w:rPr>
        <w:t>三、法定代表人授权委托书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_Toc6694 </w:instrText>
      </w:r>
      <w:r>
        <w:rPr>
          <w:rFonts w:hint="eastAsia" w:ascii="宋体" w:hAnsi="宋体" w:cs="宋体"/>
          <w:sz w:val="24"/>
          <w:szCs w:val="24"/>
        </w:rPr>
        <w:fldChar w:fldCharType="separate"/>
      </w:r>
      <w:r>
        <w:rPr>
          <w:rFonts w:hint="eastAsia" w:ascii="宋体" w:hAnsi="宋体" w:cs="宋体"/>
          <w:sz w:val="24"/>
          <w:szCs w:val="24"/>
        </w:rPr>
        <w:t>- 2</w:t>
      </w:r>
      <w:r>
        <w:rPr>
          <w:rFonts w:hint="eastAsia" w:ascii="宋体" w:hAnsi="宋体" w:cs="宋体"/>
          <w:sz w:val="24"/>
          <w:szCs w:val="24"/>
          <w:lang w:val="en-US" w:eastAsia="zh-CN"/>
        </w:rPr>
        <w:t>5</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_Toc12305 </w:instrText>
      </w:r>
      <w:r>
        <w:rPr>
          <w:rFonts w:hint="eastAsia" w:ascii="宋体" w:hAnsi="宋体" w:cs="宋体"/>
          <w:sz w:val="24"/>
          <w:szCs w:val="24"/>
        </w:rPr>
        <w:fldChar w:fldCharType="separate"/>
      </w:r>
      <w:r>
        <w:rPr>
          <w:rFonts w:hint="eastAsia" w:ascii="宋体" w:hAnsi="宋体" w:cs="宋体"/>
          <w:sz w:val="24"/>
          <w:szCs w:val="24"/>
        </w:rPr>
        <w:t>四</w:t>
      </w:r>
      <w:r>
        <w:rPr>
          <w:rFonts w:hint="eastAsia" w:ascii="宋体" w:hAnsi="宋体" w:cs="宋体"/>
          <w:bCs/>
          <w:sz w:val="24"/>
          <w:szCs w:val="24"/>
        </w:rPr>
        <w:t>、投标报价表及说明</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_Toc12305 </w:instrText>
      </w:r>
      <w:r>
        <w:rPr>
          <w:rFonts w:hint="eastAsia" w:ascii="宋体" w:hAnsi="宋体" w:cs="宋体"/>
          <w:sz w:val="24"/>
          <w:szCs w:val="24"/>
        </w:rPr>
        <w:fldChar w:fldCharType="separate"/>
      </w:r>
      <w:r>
        <w:rPr>
          <w:rFonts w:hint="eastAsia" w:ascii="宋体" w:hAnsi="宋体" w:cs="宋体"/>
          <w:sz w:val="24"/>
          <w:szCs w:val="24"/>
        </w:rPr>
        <w:t>- 2</w:t>
      </w:r>
      <w:r>
        <w:rPr>
          <w:rFonts w:hint="eastAsia" w:ascii="宋体" w:hAnsi="宋体" w:cs="宋体"/>
          <w:sz w:val="24"/>
          <w:szCs w:val="24"/>
          <w:lang w:val="en-US" w:eastAsia="zh-CN"/>
        </w:rPr>
        <w:t>6</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_Toc22394 </w:instrText>
      </w:r>
      <w:r>
        <w:rPr>
          <w:rFonts w:hint="eastAsia" w:ascii="宋体" w:hAnsi="宋体" w:cs="宋体"/>
          <w:sz w:val="24"/>
          <w:szCs w:val="24"/>
        </w:rPr>
        <w:fldChar w:fldCharType="separate"/>
      </w:r>
      <w:r>
        <w:rPr>
          <w:rFonts w:hint="eastAsia" w:ascii="宋体" w:hAnsi="宋体" w:cs="宋体"/>
          <w:sz w:val="24"/>
          <w:szCs w:val="24"/>
        </w:rPr>
        <w:t>五</w:t>
      </w:r>
      <w:r>
        <w:rPr>
          <w:rFonts w:hint="eastAsia" w:ascii="宋体" w:hAnsi="宋体" w:cs="宋体"/>
          <w:bCs/>
          <w:sz w:val="24"/>
          <w:szCs w:val="24"/>
        </w:rPr>
        <w:t>、投标人综合概况表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_Toc22394 </w:instrText>
      </w:r>
      <w:r>
        <w:rPr>
          <w:rFonts w:hint="eastAsia" w:ascii="宋体" w:hAnsi="宋体" w:cs="宋体"/>
          <w:sz w:val="24"/>
          <w:szCs w:val="24"/>
        </w:rPr>
        <w:fldChar w:fldCharType="separate"/>
      </w:r>
      <w:r>
        <w:rPr>
          <w:rFonts w:hint="eastAsia" w:ascii="宋体" w:hAnsi="宋体" w:cs="宋体"/>
          <w:sz w:val="24"/>
          <w:szCs w:val="24"/>
        </w:rPr>
        <w:t>- 2</w:t>
      </w:r>
      <w:r>
        <w:rPr>
          <w:rFonts w:hint="eastAsia" w:ascii="宋体" w:hAnsi="宋体" w:cs="宋体"/>
          <w:sz w:val="24"/>
          <w:szCs w:val="24"/>
          <w:lang w:val="en-US" w:eastAsia="zh-CN"/>
        </w:rPr>
        <w:t>7</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_Toc25840 </w:instrText>
      </w:r>
      <w:r>
        <w:rPr>
          <w:rFonts w:hint="eastAsia" w:ascii="宋体" w:hAnsi="宋体" w:cs="宋体"/>
          <w:sz w:val="24"/>
          <w:szCs w:val="24"/>
        </w:rPr>
        <w:fldChar w:fldCharType="separate"/>
      </w:r>
      <w:r>
        <w:rPr>
          <w:rFonts w:hint="eastAsia" w:ascii="宋体" w:hAnsi="宋体" w:cs="宋体"/>
          <w:sz w:val="24"/>
          <w:szCs w:val="24"/>
        </w:rPr>
        <w:t>六</w:t>
      </w:r>
      <w:r>
        <w:rPr>
          <w:rFonts w:hint="eastAsia" w:ascii="宋体" w:hAnsi="宋体" w:cs="宋体"/>
          <w:bCs/>
          <w:sz w:val="24"/>
          <w:szCs w:val="24"/>
        </w:rPr>
        <w:t>、资格审查资料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_Toc25840 </w:instrText>
      </w:r>
      <w:r>
        <w:rPr>
          <w:rFonts w:hint="eastAsia" w:ascii="宋体" w:hAnsi="宋体" w:cs="宋体"/>
          <w:sz w:val="24"/>
          <w:szCs w:val="24"/>
        </w:rPr>
        <w:fldChar w:fldCharType="separate"/>
      </w:r>
      <w:r>
        <w:rPr>
          <w:rFonts w:hint="eastAsia" w:ascii="宋体" w:hAnsi="宋体" w:cs="宋体"/>
          <w:sz w:val="24"/>
          <w:szCs w:val="24"/>
        </w:rPr>
        <w:t>- 2</w:t>
      </w:r>
      <w:r>
        <w:rPr>
          <w:rFonts w:hint="eastAsia" w:ascii="宋体" w:hAnsi="宋体" w:cs="宋体"/>
          <w:sz w:val="24"/>
          <w:szCs w:val="24"/>
          <w:lang w:val="en-US" w:eastAsia="zh-CN"/>
        </w:rPr>
        <w:t>8</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_Toc3631 </w:instrText>
      </w:r>
      <w:r>
        <w:rPr>
          <w:rFonts w:hint="eastAsia" w:ascii="宋体" w:hAnsi="宋体" w:cs="宋体"/>
          <w:sz w:val="24"/>
          <w:szCs w:val="24"/>
        </w:rPr>
        <w:fldChar w:fldCharType="separate"/>
      </w:r>
      <w:r>
        <w:rPr>
          <w:rFonts w:hint="eastAsia" w:ascii="宋体" w:hAnsi="宋体" w:cs="宋体"/>
          <w:sz w:val="24"/>
          <w:szCs w:val="24"/>
        </w:rPr>
        <w:t>七</w:t>
      </w:r>
      <w:r>
        <w:rPr>
          <w:rFonts w:hint="eastAsia" w:ascii="宋体" w:hAnsi="宋体" w:cs="宋体"/>
          <w:bCs/>
          <w:sz w:val="24"/>
          <w:szCs w:val="24"/>
        </w:rPr>
        <w:t>、近三年（</w:t>
      </w:r>
      <w:r>
        <w:rPr>
          <w:rFonts w:ascii="宋体" w:hAnsi="宋体" w:cs="宋体"/>
          <w:bCs/>
          <w:sz w:val="24"/>
          <w:szCs w:val="24"/>
        </w:rPr>
        <w:t>201</w:t>
      </w:r>
      <w:r>
        <w:rPr>
          <w:rFonts w:hint="eastAsia" w:ascii="宋体" w:hAnsi="宋体" w:cs="宋体"/>
          <w:bCs/>
          <w:sz w:val="24"/>
          <w:szCs w:val="24"/>
        </w:rPr>
        <w:t>8年1</w:t>
      </w:r>
      <w:r>
        <w:rPr>
          <w:rFonts w:hint="eastAsia" w:ascii="宋体" w:hAnsi="宋体" w:cs="宋体"/>
          <w:bCs/>
          <w:sz w:val="24"/>
          <w:szCs w:val="24"/>
          <w:lang w:val="en-US" w:eastAsia="zh-CN"/>
        </w:rPr>
        <w:t>1</w:t>
      </w:r>
      <w:r>
        <w:rPr>
          <w:rFonts w:hint="eastAsia" w:ascii="宋体" w:hAnsi="宋体" w:cs="宋体"/>
          <w:bCs/>
          <w:sz w:val="24"/>
          <w:szCs w:val="24"/>
        </w:rPr>
        <w:t>月-</w:t>
      </w:r>
      <w:r>
        <w:rPr>
          <w:rFonts w:hint="eastAsia" w:ascii="宋体" w:hAnsi="宋体" w:cs="宋体"/>
          <w:sz w:val="24"/>
          <w:szCs w:val="24"/>
        </w:rPr>
        <w:t>2021年1</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bCs/>
          <w:sz w:val="24"/>
          <w:szCs w:val="24"/>
        </w:rPr>
        <w:t>）业绩情况表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_Toc3631 </w:instrText>
      </w:r>
      <w:r>
        <w:rPr>
          <w:rFonts w:hint="eastAsia" w:ascii="宋体" w:hAnsi="宋体" w:cs="宋体"/>
          <w:sz w:val="24"/>
          <w:szCs w:val="24"/>
        </w:rPr>
        <w:fldChar w:fldCharType="separate"/>
      </w:r>
      <w:r>
        <w:rPr>
          <w:rFonts w:hint="eastAsia" w:ascii="宋体" w:hAnsi="宋体" w:cs="宋体"/>
          <w:sz w:val="24"/>
          <w:szCs w:val="24"/>
        </w:rPr>
        <w:t>- 3</w:t>
      </w:r>
      <w:r>
        <w:rPr>
          <w:rFonts w:hint="eastAsia" w:ascii="宋体" w:hAnsi="宋体" w:cs="宋体"/>
          <w:sz w:val="24"/>
          <w:szCs w:val="24"/>
          <w:lang w:val="en-US" w:eastAsia="zh-CN"/>
        </w:rPr>
        <w:t>1</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_Toc18300 </w:instrText>
      </w:r>
      <w:r>
        <w:rPr>
          <w:rFonts w:hint="eastAsia" w:ascii="宋体" w:hAnsi="宋体" w:cs="宋体"/>
          <w:sz w:val="24"/>
          <w:szCs w:val="24"/>
        </w:rPr>
        <w:fldChar w:fldCharType="separate"/>
      </w:r>
      <w:r>
        <w:rPr>
          <w:rFonts w:hint="eastAsia" w:ascii="宋体" w:hAnsi="宋体" w:cs="宋体"/>
          <w:sz w:val="24"/>
          <w:szCs w:val="24"/>
        </w:rPr>
        <w:t>八</w:t>
      </w:r>
      <w:r>
        <w:rPr>
          <w:rFonts w:hint="eastAsia" w:ascii="宋体" w:hAnsi="宋体" w:cs="宋体"/>
          <w:bCs/>
          <w:sz w:val="24"/>
          <w:szCs w:val="24"/>
        </w:rPr>
        <w:t>、服务方案及综合实力</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_Toc18300 </w:instrText>
      </w:r>
      <w:r>
        <w:rPr>
          <w:rFonts w:hint="eastAsia" w:ascii="宋体" w:hAnsi="宋体" w:cs="宋体"/>
          <w:sz w:val="24"/>
          <w:szCs w:val="24"/>
        </w:rPr>
        <w:fldChar w:fldCharType="separate"/>
      </w:r>
      <w:r>
        <w:rPr>
          <w:rFonts w:hint="eastAsia" w:ascii="宋体" w:hAnsi="宋体" w:cs="宋体"/>
          <w:sz w:val="24"/>
          <w:szCs w:val="24"/>
        </w:rPr>
        <w:t>- 3</w:t>
      </w:r>
      <w:r>
        <w:rPr>
          <w:rFonts w:hint="eastAsia" w:ascii="宋体" w:hAnsi="宋体" w:cs="宋体"/>
          <w:sz w:val="24"/>
          <w:szCs w:val="24"/>
          <w:lang w:val="en-US" w:eastAsia="zh-CN"/>
        </w:rPr>
        <w:t>2</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9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_Toc16037 </w:instrText>
      </w:r>
      <w:r>
        <w:rPr>
          <w:rFonts w:hint="eastAsia" w:ascii="宋体" w:hAnsi="宋体" w:cs="宋体"/>
          <w:sz w:val="24"/>
          <w:szCs w:val="24"/>
        </w:rPr>
        <w:fldChar w:fldCharType="separate"/>
      </w:r>
      <w:r>
        <w:rPr>
          <w:rFonts w:hint="eastAsia" w:ascii="宋体" w:hAnsi="宋体" w:cs="宋体"/>
          <w:sz w:val="24"/>
          <w:szCs w:val="24"/>
        </w:rPr>
        <w:t>九</w:t>
      </w:r>
      <w:r>
        <w:rPr>
          <w:rFonts w:hint="eastAsia" w:ascii="宋体" w:hAnsi="宋体" w:cs="宋体"/>
          <w:bCs/>
          <w:sz w:val="24"/>
          <w:szCs w:val="24"/>
        </w:rPr>
        <w:t>、其他相关证明材料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_Toc16037 </w:instrText>
      </w:r>
      <w:r>
        <w:rPr>
          <w:rFonts w:hint="eastAsia" w:ascii="宋体" w:hAnsi="宋体" w:cs="宋体"/>
          <w:sz w:val="24"/>
          <w:szCs w:val="24"/>
        </w:rPr>
        <w:fldChar w:fldCharType="separate"/>
      </w:r>
      <w:r>
        <w:rPr>
          <w:rFonts w:hint="eastAsia" w:ascii="宋体" w:hAnsi="宋体" w:cs="宋体"/>
          <w:sz w:val="24"/>
          <w:szCs w:val="24"/>
        </w:rPr>
        <w:t>- 3</w:t>
      </w:r>
      <w:r>
        <w:rPr>
          <w:rFonts w:hint="eastAsia" w:ascii="宋体" w:hAnsi="宋体" w:cs="宋体"/>
          <w:sz w:val="24"/>
          <w:szCs w:val="24"/>
          <w:lang w:val="en-US" w:eastAsia="zh-CN"/>
        </w:rPr>
        <w:t>3</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spacing w:line="360" w:lineRule="auto"/>
        <w:rPr>
          <w:rFonts w:ascii="宋体" w:cs="宋体"/>
          <w:sz w:val="24"/>
        </w:rPr>
        <w:sectPr>
          <w:headerReference r:id="rId4" w:type="first"/>
          <w:footerReference r:id="rId6" w:type="first"/>
          <w:headerReference r:id="rId3" w:type="default"/>
          <w:footerReference r:id="rId5" w:type="default"/>
          <w:pgSz w:w="11906" w:h="16838"/>
          <w:pgMar w:top="1440" w:right="1701" w:bottom="1440" w:left="1701" w:header="851" w:footer="992" w:gutter="0"/>
          <w:pgNumType w:fmt="numberInDash" w:start="1"/>
          <w:cols w:space="720" w:num="1"/>
          <w:docGrid w:type="linesAndChars" w:linePitch="380" w:charSpace="0"/>
        </w:sectPr>
      </w:pPr>
      <w:r>
        <w:rPr>
          <w:rFonts w:hint="eastAsia" w:ascii="宋体" w:hAnsi="宋体" w:cs="宋体"/>
          <w:sz w:val="24"/>
        </w:rPr>
        <w:fldChar w:fldCharType="end"/>
      </w:r>
    </w:p>
    <w:p>
      <w:pPr>
        <w:pStyle w:val="3"/>
        <w:spacing w:line="360" w:lineRule="auto"/>
        <w:jc w:val="center"/>
        <w:rPr>
          <w:rFonts w:hint="eastAsia"/>
          <w:b w:val="0"/>
          <w:sz w:val="28"/>
          <w:szCs w:val="28"/>
        </w:rPr>
      </w:pPr>
      <w:r>
        <w:rPr>
          <w:rFonts w:hint="eastAsia"/>
          <w:b w:val="0"/>
          <w:sz w:val="28"/>
          <w:szCs w:val="28"/>
        </w:rPr>
        <w:t>（</w:t>
      </w:r>
      <w:bookmarkStart w:id="6" w:name="_Hlk83392629"/>
      <w:r>
        <w:rPr>
          <w:rFonts w:hint="eastAsia" w:ascii="宋体" w:hAnsi="宋体" w:cs="宋体"/>
          <w:sz w:val="28"/>
          <w:szCs w:val="28"/>
        </w:rPr>
        <w:t>S103济枣线山亭区凫城至市中区曾店段改建工程</w:t>
      </w:r>
      <w:bookmarkEnd w:id="6"/>
      <w:r>
        <w:rPr>
          <w:rFonts w:hint="eastAsia" w:ascii="宋体" w:hAnsi="宋体" w:cs="宋体"/>
          <w:sz w:val="28"/>
          <w:szCs w:val="28"/>
        </w:rPr>
        <w:t>钢材采购</w:t>
      </w:r>
      <w:r>
        <w:rPr>
          <w:rFonts w:hint="eastAsia"/>
          <w:b w:val="0"/>
          <w:sz w:val="28"/>
          <w:szCs w:val="28"/>
        </w:rPr>
        <w:t>）</w:t>
      </w:r>
    </w:p>
    <w:p>
      <w:pPr>
        <w:pStyle w:val="36"/>
        <w:shd w:val="clear" w:color="auto" w:fill="FFFFFF"/>
        <w:spacing w:before="0" w:beforeAutospacing="0" w:after="0" w:afterAutospacing="0" w:line="400" w:lineRule="exact"/>
        <w:jc w:val="center"/>
        <w:outlineLvl w:val="1"/>
        <w:rPr>
          <w:rFonts w:hint="eastAsia"/>
          <w:b/>
          <w:sz w:val="28"/>
          <w:szCs w:val="28"/>
        </w:rPr>
      </w:pPr>
      <w:bookmarkStart w:id="7" w:name="_Toc9294"/>
      <w:r>
        <w:rPr>
          <w:rFonts w:hint="eastAsia"/>
          <w:b/>
          <w:sz w:val="28"/>
          <w:szCs w:val="28"/>
        </w:rPr>
        <w:t>第一章  招标公告</w:t>
      </w:r>
      <w:bookmarkEnd w:id="7"/>
    </w:p>
    <w:p>
      <w:pPr>
        <w:pStyle w:val="36"/>
        <w:shd w:val="clear" w:color="auto" w:fill="FFFFFF"/>
        <w:spacing w:before="0" w:beforeAutospacing="0" w:after="0" w:afterAutospacing="0" w:line="400" w:lineRule="exact"/>
        <w:jc w:val="center"/>
        <w:rPr>
          <w:b/>
          <w:sz w:val="28"/>
          <w:szCs w:val="28"/>
        </w:rPr>
      </w:pPr>
    </w:p>
    <w:p>
      <w:pPr>
        <w:pStyle w:val="36"/>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本招标项目为</w:t>
      </w:r>
      <w:r>
        <w:rPr>
          <w:rFonts w:hint="eastAsia"/>
          <w:b/>
          <w:sz w:val="21"/>
          <w:szCs w:val="21"/>
        </w:rPr>
        <w:t>S103济枣线山亭区凫城至市中区曾店段改建工程钢材采购</w:t>
      </w:r>
      <w:r>
        <w:rPr>
          <w:rFonts w:hint="eastAsia" w:cs="Times New Roman"/>
          <w:kern w:val="2"/>
          <w:sz w:val="21"/>
          <w:szCs w:val="21"/>
        </w:rPr>
        <w:t>，招标编号：CGC2021-JS-CL-14，招标人为中国地质工程集团有限公司</w:t>
      </w:r>
      <w:r>
        <w:rPr>
          <w:rFonts w:hint="eastAsia"/>
          <w:sz w:val="21"/>
          <w:szCs w:val="21"/>
        </w:rPr>
        <w:t>。项目资金由招标人自筹，资金已落实。项</w:t>
      </w:r>
      <w:r>
        <w:rPr>
          <w:rFonts w:hint="eastAsia" w:cs="Times New Roman"/>
          <w:kern w:val="2"/>
          <w:sz w:val="21"/>
          <w:szCs w:val="21"/>
        </w:rPr>
        <w:t>目已具备招标条件，现进行公开招标，邀请合格的投标人参加投标。</w:t>
      </w:r>
    </w:p>
    <w:p>
      <w:pPr>
        <w:pStyle w:val="36"/>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8" w:name="_Toc660"/>
      <w:r>
        <w:rPr>
          <w:rFonts w:hint="eastAsia" w:cs="Times New Roman"/>
          <w:b/>
          <w:kern w:val="2"/>
          <w:sz w:val="21"/>
          <w:szCs w:val="21"/>
        </w:rPr>
        <w:t>一、招标项目名称及招标编号</w:t>
      </w:r>
      <w:bookmarkEnd w:id="8"/>
    </w:p>
    <w:p>
      <w:pPr>
        <w:pStyle w:val="36"/>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1、项目名称：</w:t>
      </w:r>
      <w:r>
        <w:rPr>
          <w:rFonts w:hint="eastAsia"/>
          <w:bCs/>
          <w:sz w:val="21"/>
          <w:szCs w:val="21"/>
        </w:rPr>
        <w:t>S103济枣线山亭区凫城至市中区曾店段改建工程钢材采购</w:t>
      </w:r>
      <w:r>
        <w:rPr>
          <w:rFonts w:hint="eastAsia" w:cs="Times New Roman"/>
          <w:kern w:val="2"/>
          <w:sz w:val="21"/>
          <w:szCs w:val="21"/>
        </w:rPr>
        <w:t xml:space="preserve">                              </w:t>
      </w:r>
    </w:p>
    <w:p>
      <w:pPr>
        <w:pStyle w:val="36"/>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2、招标编号：CGC2021-JS-CL-14</w:t>
      </w:r>
    </w:p>
    <w:p>
      <w:pPr>
        <w:pStyle w:val="36"/>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9" w:name="_Toc31888"/>
      <w:r>
        <w:rPr>
          <w:rFonts w:hint="eastAsia" w:cs="Times New Roman"/>
          <w:b/>
          <w:kern w:val="2"/>
          <w:sz w:val="21"/>
          <w:szCs w:val="21"/>
        </w:rPr>
        <w:t>二、招标内容与服务期限</w:t>
      </w:r>
      <w:bookmarkEnd w:id="9"/>
    </w:p>
    <w:p>
      <w:pPr>
        <w:pStyle w:val="36"/>
        <w:shd w:val="clear" w:color="auto" w:fill="FFFFFF"/>
        <w:spacing w:before="0" w:beforeAutospacing="0" w:after="0" w:afterAutospacing="0" w:line="380" w:lineRule="exact"/>
        <w:ind w:firstLine="420" w:firstLineChars="200"/>
        <w:rPr>
          <w:rFonts w:hint="eastAsia" w:cs="Times New Roman"/>
          <w:kern w:val="2"/>
          <w:sz w:val="21"/>
          <w:szCs w:val="21"/>
        </w:rPr>
      </w:pPr>
      <w:r>
        <w:rPr>
          <w:rFonts w:cs="Times New Roman"/>
          <w:kern w:val="2"/>
          <w:sz w:val="21"/>
          <w:szCs w:val="21"/>
        </w:rPr>
        <w:t>1</w:t>
      </w:r>
      <w:r>
        <w:rPr>
          <w:rFonts w:hint="eastAsia" w:cs="Times New Roman"/>
          <w:kern w:val="2"/>
          <w:sz w:val="21"/>
          <w:szCs w:val="21"/>
        </w:rPr>
        <w:t>、工程地点：山东省枣庄市山亭区凫城镇。</w:t>
      </w:r>
    </w:p>
    <w:p>
      <w:pPr>
        <w:pStyle w:val="36"/>
        <w:shd w:val="clear" w:color="auto" w:fill="FFFFFF"/>
        <w:spacing w:before="0" w:beforeAutospacing="0" w:after="0" w:afterAutospacing="0" w:line="380" w:lineRule="exact"/>
        <w:ind w:firstLine="420" w:firstLineChars="200"/>
        <w:rPr>
          <w:rFonts w:hint="eastAsia"/>
          <w:bCs/>
          <w:sz w:val="21"/>
          <w:szCs w:val="21"/>
        </w:rPr>
      </w:pPr>
      <w:bookmarkStart w:id="10" w:name="_Toc184704555"/>
      <w:bookmarkStart w:id="11" w:name="_Toc319769473"/>
      <w:bookmarkStart w:id="12" w:name="_Toc319394714"/>
      <w:r>
        <w:rPr>
          <w:rFonts w:hint="eastAsia" w:cs="Times New Roman"/>
          <w:kern w:val="2"/>
          <w:sz w:val="21"/>
          <w:szCs w:val="21"/>
        </w:rPr>
        <w:t>2、招标内容：</w:t>
      </w:r>
      <w:r>
        <w:rPr>
          <w:rFonts w:hint="eastAsia"/>
          <w:bCs/>
          <w:color w:val="auto"/>
          <w:sz w:val="21"/>
          <w:szCs w:val="21"/>
        </w:rPr>
        <w:t>项目所需</w:t>
      </w:r>
      <w:r>
        <w:rPr>
          <w:rFonts w:hint="eastAsia"/>
          <w:bCs/>
          <w:color w:val="auto"/>
          <w:sz w:val="21"/>
          <w:szCs w:val="21"/>
          <w:lang w:val="en-US" w:eastAsia="zh-CN"/>
        </w:rPr>
        <w:t>钢材约5000</w:t>
      </w:r>
      <w:r>
        <w:rPr>
          <w:rFonts w:hint="eastAsia"/>
          <w:bCs/>
          <w:color w:val="auto"/>
          <w:sz w:val="21"/>
          <w:szCs w:val="21"/>
        </w:rPr>
        <w:t>吨</w:t>
      </w:r>
      <w:r>
        <w:rPr>
          <w:rFonts w:hint="eastAsia"/>
          <w:bCs/>
          <w:sz w:val="21"/>
          <w:szCs w:val="21"/>
        </w:rPr>
        <w:t>（</w:t>
      </w:r>
      <w:r>
        <w:rPr>
          <w:rFonts w:hint="eastAsia" w:ascii="宋体" w:hAnsi="宋体" w:eastAsia="宋体" w:cs="宋体"/>
          <w:sz w:val="21"/>
          <w:szCs w:val="21"/>
        </w:rPr>
        <w:t>数量、品类均为暂估，不作为结算依据，具体结算以</w:t>
      </w:r>
      <w:r>
        <w:rPr>
          <w:rFonts w:hint="eastAsia" w:cs="宋体"/>
          <w:sz w:val="21"/>
          <w:szCs w:val="21"/>
          <w:lang w:eastAsia="zh-CN"/>
        </w:rPr>
        <w:t>招标人</w:t>
      </w:r>
      <w:r>
        <w:rPr>
          <w:rFonts w:hint="eastAsia" w:ascii="宋体" w:hAnsi="宋体" w:eastAsia="宋体" w:cs="宋体"/>
          <w:sz w:val="21"/>
          <w:szCs w:val="21"/>
        </w:rPr>
        <w:t>实际进货并验收合格的数量为准</w:t>
      </w:r>
      <w:r>
        <w:rPr>
          <w:rFonts w:hint="eastAsia"/>
          <w:bCs/>
          <w:sz w:val="21"/>
          <w:szCs w:val="21"/>
        </w:rPr>
        <w:t>）。</w:t>
      </w:r>
    </w:p>
    <w:p>
      <w:pPr>
        <w:pStyle w:val="36"/>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3、技术标准：见第四章  招标人技术/服务需求。</w:t>
      </w:r>
    </w:p>
    <w:p>
      <w:pPr>
        <w:pStyle w:val="36"/>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4、本项目不划分标包。</w:t>
      </w:r>
    </w:p>
    <w:p>
      <w:pPr>
        <w:pStyle w:val="36"/>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13" w:name="_Toc27494"/>
      <w:r>
        <w:rPr>
          <w:rFonts w:hint="eastAsia" w:cs="Times New Roman"/>
          <w:b/>
          <w:kern w:val="2"/>
          <w:sz w:val="21"/>
          <w:szCs w:val="21"/>
        </w:rPr>
        <w:t>三、投标人资格要求</w:t>
      </w:r>
      <w:bookmarkEnd w:id="10"/>
      <w:bookmarkEnd w:id="11"/>
      <w:bookmarkEnd w:id="12"/>
      <w:bookmarkEnd w:id="13"/>
    </w:p>
    <w:p>
      <w:pPr>
        <w:pStyle w:val="36"/>
        <w:shd w:val="clear" w:color="auto" w:fill="FFFFFF"/>
        <w:spacing w:before="0" w:beforeAutospacing="0" w:after="0" w:afterAutospacing="0" w:line="380" w:lineRule="exact"/>
        <w:ind w:firstLine="420" w:firstLineChars="200"/>
        <w:rPr>
          <w:rFonts w:hint="eastAsia" w:cs="Times New Roman"/>
          <w:kern w:val="2"/>
          <w:sz w:val="21"/>
          <w:szCs w:val="21"/>
        </w:rPr>
      </w:pPr>
      <w:bookmarkStart w:id="14" w:name="_Toc184704556"/>
      <w:bookmarkStart w:id="15" w:name="_Toc319769474"/>
      <w:bookmarkStart w:id="16" w:name="_Toc319394715"/>
      <w:r>
        <w:rPr>
          <w:rFonts w:cs="Times New Roman"/>
          <w:kern w:val="2"/>
          <w:sz w:val="21"/>
          <w:szCs w:val="21"/>
        </w:rPr>
        <w:t>1</w:t>
      </w:r>
      <w:r>
        <w:rPr>
          <w:rFonts w:hint="eastAsia" w:cs="Times New Roman"/>
          <w:kern w:val="2"/>
          <w:sz w:val="21"/>
          <w:szCs w:val="21"/>
        </w:rPr>
        <w:t>、投标人应为中华人民共和国境内依法注册的独立企业法人机构或其他组织，具有有效的营业执照或事业单位法人证书，应包含相应的经营范围或业务范围（提供有效的营业执照或事业单位法人证书）；</w:t>
      </w:r>
    </w:p>
    <w:p>
      <w:pPr>
        <w:pStyle w:val="36"/>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2、符合《中华人民共和国招标投标法》对投标人其他资质要求；</w:t>
      </w:r>
    </w:p>
    <w:p>
      <w:pPr>
        <w:pStyle w:val="36"/>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3、投标人须为未被列入“信用中国”网站（</w:t>
      </w:r>
      <w:r>
        <w:rPr>
          <w:rFonts w:cs="Times New Roman"/>
          <w:kern w:val="2"/>
          <w:sz w:val="21"/>
          <w:szCs w:val="21"/>
        </w:rPr>
        <w:t>www.creditchina.gov.cn</w:t>
      </w:r>
      <w:r>
        <w:rPr>
          <w:rFonts w:hint="eastAsia" w:cs="Times New Roman"/>
          <w:kern w:val="2"/>
          <w:sz w:val="21"/>
          <w:szCs w:val="21"/>
        </w:rPr>
        <w:t>）记录失信被执行人或重大税收违法案件当事人名单或政府采购严重违法失信行为记录名单；不处于中国政府采购网（</w:t>
      </w:r>
      <w:r>
        <w:rPr>
          <w:rFonts w:cs="Times New Roman"/>
          <w:kern w:val="2"/>
          <w:sz w:val="21"/>
          <w:szCs w:val="21"/>
        </w:rPr>
        <w:t>www.ccgp.gov.cn</w:t>
      </w:r>
      <w:r>
        <w:rPr>
          <w:rFonts w:hint="eastAsia" w:cs="Times New Roman"/>
          <w:kern w:val="2"/>
          <w:sz w:val="21"/>
          <w:szCs w:val="21"/>
        </w:rPr>
        <w:t>）政府采购严重违法失信行为信息记录中的禁止参加政府采购活动期间等的方可参加本项目的投标。（时间以投标截止日前五个工作日至投标截止日查询结果为准，投标人须将查询后的网页截图加盖单位公章后装入投标文件内，查询结果以开标当天现场查询结果为准）；</w:t>
      </w:r>
    </w:p>
    <w:p>
      <w:pPr>
        <w:pStyle w:val="36"/>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4、单位负责人为同一人或者存在控股、管理关系的不同单位，不得同时参加投标；</w:t>
      </w:r>
    </w:p>
    <w:p>
      <w:pPr>
        <w:pStyle w:val="36"/>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5、本项目不接受联合体投标。</w:t>
      </w:r>
    </w:p>
    <w:p>
      <w:pPr>
        <w:pStyle w:val="36"/>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17" w:name="_Toc30456"/>
      <w:r>
        <w:rPr>
          <w:rFonts w:hint="eastAsia" w:cs="Times New Roman"/>
          <w:b/>
          <w:kern w:val="2"/>
          <w:sz w:val="21"/>
          <w:szCs w:val="21"/>
        </w:rPr>
        <w:t>四、资格审查方法</w:t>
      </w:r>
      <w:bookmarkEnd w:id="14"/>
      <w:bookmarkEnd w:id="15"/>
      <w:bookmarkEnd w:id="16"/>
      <w:bookmarkEnd w:id="17"/>
    </w:p>
    <w:p>
      <w:pPr>
        <w:spacing w:line="380" w:lineRule="exact"/>
        <w:ind w:firstLine="420" w:firstLineChars="200"/>
        <w:rPr>
          <w:rFonts w:ascii="宋体"/>
          <w:szCs w:val="21"/>
        </w:rPr>
      </w:pPr>
      <w:r>
        <w:rPr>
          <w:rFonts w:hint="eastAsia" w:hAnsi="宋体"/>
          <w:bCs/>
          <w:szCs w:val="21"/>
        </w:rPr>
        <w:t>本项目实行资格后审的方式，投标人自行判断是否符合招标公告的要求，并决定是否购买招标文件和参加投标。</w:t>
      </w:r>
    </w:p>
    <w:p>
      <w:pPr>
        <w:pStyle w:val="36"/>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18" w:name="_Toc16561"/>
      <w:bookmarkStart w:id="19" w:name="_Toc184704557"/>
      <w:bookmarkStart w:id="20" w:name="_Toc319769475"/>
      <w:bookmarkStart w:id="21" w:name="_Toc319394716"/>
      <w:r>
        <w:rPr>
          <w:rFonts w:hint="eastAsia" w:cs="Times New Roman"/>
          <w:b/>
          <w:kern w:val="2"/>
          <w:sz w:val="21"/>
          <w:szCs w:val="21"/>
        </w:rPr>
        <w:t>五、招标文件的获取</w:t>
      </w:r>
      <w:bookmarkEnd w:id="18"/>
      <w:bookmarkEnd w:id="19"/>
      <w:bookmarkEnd w:id="20"/>
      <w:bookmarkEnd w:id="21"/>
    </w:p>
    <w:p>
      <w:pPr>
        <w:spacing w:line="380" w:lineRule="exact"/>
        <w:ind w:firstLine="420" w:firstLineChars="200"/>
        <w:rPr>
          <w:rFonts w:hint="eastAsia" w:ascii="宋体" w:hAnsi="宋体"/>
          <w:bCs/>
          <w:szCs w:val="21"/>
        </w:rPr>
      </w:pPr>
      <w:r>
        <w:rPr>
          <w:rFonts w:ascii="宋体" w:hAnsi="宋体"/>
          <w:bCs/>
          <w:szCs w:val="21"/>
        </w:rPr>
        <w:t>1</w:t>
      </w:r>
      <w:r>
        <w:rPr>
          <w:rFonts w:hint="eastAsia" w:ascii="宋体" w:hAnsi="宋体"/>
          <w:bCs/>
          <w:szCs w:val="21"/>
        </w:rPr>
        <w:t>、招标文件获取地点：投标人到中国地质工程集团有限公司网站新闻中心进行下载。</w:t>
      </w:r>
    </w:p>
    <w:p>
      <w:pPr>
        <w:spacing w:line="380" w:lineRule="exact"/>
        <w:ind w:firstLine="420" w:firstLineChars="200"/>
        <w:rPr>
          <w:rFonts w:hint="eastAsia" w:ascii="宋体"/>
          <w:bCs/>
          <w:szCs w:val="21"/>
        </w:rPr>
      </w:pPr>
      <w:r>
        <w:rPr>
          <w:rFonts w:hint="eastAsia" w:ascii="宋体" w:hAnsi="宋体"/>
          <w:bCs/>
          <w:szCs w:val="21"/>
        </w:rPr>
        <w:t>2、招标文件不收取费用。</w:t>
      </w:r>
    </w:p>
    <w:p>
      <w:pPr>
        <w:pStyle w:val="36"/>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22" w:name="_Toc41"/>
      <w:r>
        <w:rPr>
          <w:rFonts w:hint="eastAsia" w:cs="Times New Roman"/>
          <w:b/>
          <w:kern w:val="2"/>
          <w:sz w:val="21"/>
          <w:szCs w:val="21"/>
        </w:rPr>
        <w:t>六、投标文件递交截止时间、地点及开标时间、地点</w:t>
      </w:r>
      <w:bookmarkEnd w:id="22"/>
    </w:p>
    <w:p>
      <w:pPr>
        <w:topLinePunct/>
        <w:spacing w:line="380" w:lineRule="exact"/>
        <w:ind w:firstLine="420" w:firstLineChars="200"/>
        <w:rPr>
          <w:rFonts w:ascii="宋体"/>
          <w:szCs w:val="21"/>
        </w:rPr>
      </w:pPr>
      <w:r>
        <w:rPr>
          <w:rFonts w:ascii="宋体" w:hAnsi="宋体"/>
          <w:szCs w:val="21"/>
        </w:rPr>
        <w:t>1</w:t>
      </w:r>
      <w:r>
        <w:rPr>
          <w:rFonts w:hint="eastAsia" w:ascii="宋体" w:hAnsi="宋体"/>
          <w:szCs w:val="21"/>
        </w:rPr>
        <w:t>、投标文件递交截止时间及开标时间：</w:t>
      </w:r>
      <w:r>
        <w:rPr>
          <w:rFonts w:hint="eastAsia" w:ascii="宋体" w:hAnsi="宋体"/>
          <w:szCs w:val="21"/>
          <w:u w:val="single"/>
        </w:rPr>
        <w:t>以在中国地质工程集团有限公司网站公告之日起第七天的09时30分（北京时间，周末及法定节假</w:t>
      </w:r>
      <w:r>
        <w:rPr>
          <w:rFonts w:hint="eastAsia" w:ascii="宋体" w:hAnsi="宋体"/>
          <w:szCs w:val="21"/>
          <w:u w:val="single"/>
          <w:lang w:val="en-US" w:eastAsia="zh-CN"/>
        </w:rPr>
        <w:t>日顺延</w:t>
      </w:r>
      <w:r>
        <w:rPr>
          <w:rFonts w:hint="eastAsia" w:ascii="宋体" w:hAnsi="宋体"/>
          <w:szCs w:val="21"/>
          <w:u w:val="single"/>
        </w:rPr>
        <w:t>）</w:t>
      </w:r>
      <w:r>
        <w:rPr>
          <w:rFonts w:hint="eastAsia" w:ascii="宋体" w:hAnsi="宋体"/>
          <w:szCs w:val="21"/>
        </w:rPr>
        <w:t>。</w:t>
      </w:r>
    </w:p>
    <w:p>
      <w:pPr>
        <w:spacing w:line="380" w:lineRule="exact"/>
        <w:ind w:firstLine="420" w:firstLineChars="200"/>
        <w:rPr>
          <w:rFonts w:ascii="宋体"/>
          <w:bCs/>
          <w:szCs w:val="21"/>
        </w:rPr>
      </w:pPr>
      <w:r>
        <w:rPr>
          <w:rFonts w:ascii="宋体" w:hAnsi="宋体"/>
          <w:szCs w:val="21"/>
        </w:rPr>
        <w:t>2</w:t>
      </w:r>
      <w:r>
        <w:rPr>
          <w:rFonts w:hint="eastAsia" w:ascii="宋体" w:hAnsi="宋体"/>
          <w:szCs w:val="21"/>
        </w:rPr>
        <w:t>、投标文件递交地点及开标地点：江苏省</w:t>
      </w:r>
      <w:r>
        <w:rPr>
          <w:rFonts w:hint="eastAsia" w:ascii="宋体" w:hAnsi="宋体"/>
          <w:szCs w:val="21"/>
          <w:lang w:val="en-US" w:eastAsia="zh-CN"/>
        </w:rPr>
        <w:t>南京</w:t>
      </w:r>
      <w:r>
        <w:rPr>
          <w:rFonts w:hint="eastAsia" w:ascii="宋体" w:hAnsi="宋体"/>
          <w:szCs w:val="21"/>
        </w:rPr>
        <w:t>市</w:t>
      </w:r>
      <w:r>
        <w:rPr>
          <w:rFonts w:hint="eastAsia" w:ascii="宋体" w:hAnsi="宋体"/>
          <w:szCs w:val="21"/>
          <w:lang w:val="en-US" w:eastAsia="zh-CN"/>
        </w:rPr>
        <w:t>鼓楼区</w:t>
      </w:r>
      <w:r>
        <w:rPr>
          <w:rFonts w:hint="eastAsia" w:ascii="宋体" w:hAnsi="宋体"/>
          <w:szCs w:val="21"/>
        </w:rPr>
        <w:t>江东北路301号1栋24楼</w:t>
      </w:r>
    </w:p>
    <w:p>
      <w:pPr>
        <w:pStyle w:val="36"/>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23" w:name="_Toc1550"/>
      <w:r>
        <w:rPr>
          <w:rFonts w:hint="eastAsia" w:cs="Times New Roman"/>
          <w:b/>
          <w:kern w:val="2"/>
          <w:sz w:val="21"/>
          <w:szCs w:val="21"/>
        </w:rPr>
        <w:t>七、发布公告的媒介</w:t>
      </w:r>
      <w:bookmarkEnd w:id="23"/>
    </w:p>
    <w:p>
      <w:pPr>
        <w:spacing w:line="380" w:lineRule="exact"/>
        <w:ind w:firstLine="420" w:firstLineChars="200"/>
        <w:rPr>
          <w:rFonts w:ascii="宋体"/>
          <w:szCs w:val="21"/>
        </w:rPr>
      </w:pPr>
      <w:r>
        <w:rPr>
          <w:rFonts w:hint="eastAsia" w:ascii="宋体" w:hAnsi="宋体"/>
          <w:szCs w:val="21"/>
        </w:rPr>
        <w:t>本次招标公告在中国地质工程集团有限公司网站新闻中心进行发布，其他媒介转载无效。</w:t>
      </w:r>
    </w:p>
    <w:p>
      <w:pPr>
        <w:pStyle w:val="36"/>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24" w:name="_Toc6373"/>
      <w:r>
        <w:rPr>
          <w:rFonts w:hint="eastAsia" w:cs="Times New Roman"/>
          <w:b/>
          <w:kern w:val="2"/>
          <w:sz w:val="21"/>
          <w:szCs w:val="21"/>
        </w:rPr>
        <w:t>八、联系方式</w:t>
      </w:r>
      <w:bookmarkEnd w:id="24"/>
    </w:p>
    <w:p>
      <w:pPr>
        <w:spacing w:line="380" w:lineRule="exact"/>
        <w:ind w:firstLine="420" w:firstLineChars="200"/>
        <w:rPr>
          <w:rFonts w:hint="eastAsia" w:ascii="宋体"/>
          <w:szCs w:val="21"/>
        </w:rPr>
      </w:pPr>
      <w:r>
        <w:rPr>
          <w:rFonts w:hint="eastAsia" w:ascii="宋体" w:hAnsi="宋体"/>
          <w:szCs w:val="21"/>
        </w:rPr>
        <w:t>招</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 xml:space="preserve">人：中国地质工程集团有限公司                                </w:t>
      </w:r>
    </w:p>
    <w:p>
      <w:pPr>
        <w:spacing w:line="380" w:lineRule="exact"/>
        <w:ind w:firstLine="420" w:firstLineChars="200"/>
        <w:rPr>
          <w:rFonts w:hint="eastAsia" w:asci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址：江苏省</w:t>
      </w:r>
      <w:r>
        <w:rPr>
          <w:rFonts w:hint="eastAsia" w:ascii="宋体" w:hAnsi="宋体"/>
          <w:szCs w:val="21"/>
          <w:lang w:val="en-US" w:eastAsia="zh-CN"/>
        </w:rPr>
        <w:t>南京</w:t>
      </w:r>
      <w:r>
        <w:rPr>
          <w:rFonts w:hint="eastAsia" w:ascii="宋体" w:hAnsi="宋体"/>
          <w:szCs w:val="21"/>
        </w:rPr>
        <w:t xml:space="preserve">市鼓楼区江东北路301号1栋24楼 </w:t>
      </w:r>
    </w:p>
    <w:p>
      <w:pPr>
        <w:spacing w:line="380" w:lineRule="exact"/>
        <w:ind w:firstLine="420" w:firstLineChars="200"/>
        <w:rPr>
          <w:rFonts w:hint="eastAsia" w:ascii="宋体"/>
          <w:szCs w:val="21"/>
        </w:rPr>
      </w:pPr>
      <w:r>
        <w:rPr>
          <w:rFonts w:hint="eastAsia" w:ascii="宋体" w:hAnsi="宋体"/>
          <w:szCs w:val="21"/>
        </w:rPr>
        <w:t>联</w:t>
      </w:r>
      <w:r>
        <w:rPr>
          <w:rFonts w:ascii="宋体" w:hAnsi="宋体"/>
          <w:szCs w:val="21"/>
        </w:rPr>
        <w:t xml:space="preserve"> </w:t>
      </w:r>
      <w:r>
        <w:rPr>
          <w:rFonts w:hint="eastAsia" w:ascii="宋体" w:hAnsi="宋体"/>
          <w:szCs w:val="21"/>
        </w:rPr>
        <w:t>系</w:t>
      </w:r>
      <w:r>
        <w:rPr>
          <w:rFonts w:ascii="宋体" w:hAnsi="宋体"/>
          <w:szCs w:val="21"/>
        </w:rPr>
        <w:t xml:space="preserve"> </w:t>
      </w:r>
      <w:r>
        <w:rPr>
          <w:rFonts w:hint="eastAsia" w:ascii="宋体" w:hAnsi="宋体"/>
          <w:szCs w:val="21"/>
        </w:rPr>
        <w:t xml:space="preserve">人：马子雯 </w:t>
      </w:r>
    </w:p>
    <w:p>
      <w:pPr>
        <w:spacing w:line="380" w:lineRule="exact"/>
        <w:ind w:firstLine="420" w:firstLineChars="200"/>
        <w:rPr>
          <w:rFonts w:hint="eastAsia"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 xml:space="preserve">话：025-86262905 </w:t>
      </w:r>
    </w:p>
    <w:p>
      <w:pPr>
        <w:spacing w:line="380" w:lineRule="exact"/>
        <w:ind w:firstLine="420" w:firstLineChars="200"/>
        <w:rPr>
          <w:rFonts w:ascii="宋体" w:hAnsi="宋体"/>
          <w:szCs w:val="21"/>
        </w:rPr>
      </w:pPr>
      <w:r>
        <w:rPr>
          <w:rFonts w:hint="eastAsia" w:ascii="宋体" w:hAnsi="宋体"/>
          <w:szCs w:val="21"/>
        </w:rPr>
        <w:t>邮    箱：zgdzjscg@163.com</w:t>
      </w:r>
    </w:p>
    <w:p>
      <w:pPr>
        <w:pStyle w:val="3"/>
        <w:spacing w:before="0" w:after="0" w:line="360" w:lineRule="auto"/>
        <w:jc w:val="center"/>
        <w:rPr>
          <w:rFonts w:hint="eastAsia"/>
          <w:sz w:val="28"/>
          <w:szCs w:val="28"/>
        </w:rPr>
      </w:pPr>
      <w:bookmarkStart w:id="25" w:name="_Toc447188665"/>
      <w:bookmarkStart w:id="26" w:name="_Toc447265214"/>
      <w:bookmarkStart w:id="27" w:name="_Toc16175982"/>
      <w:bookmarkStart w:id="28" w:name="_Toc24186"/>
      <w:bookmarkStart w:id="29" w:name="_Toc447265500"/>
      <w:r>
        <w:rPr>
          <w:rFonts w:hint="eastAsia"/>
          <w:sz w:val="28"/>
          <w:szCs w:val="28"/>
        </w:rPr>
        <w:t>第二章  投标人须知</w:t>
      </w:r>
      <w:bookmarkEnd w:id="25"/>
      <w:bookmarkEnd w:id="26"/>
      <w:bookmarkEnd w:id="27"/>
      <w:bookmarkEnd w:id="28"/>
      <w:bookmarkEnd w:id="29"/>
    </w:p>
    <w:p>
      <w:pPr>
        <w:pStyle w:val="4"/>
        <w:snapToGrid w:val="0"/>
        <w:spacing w:before="240" w:after="120" w:line="240" w:lineRule="auto"/>
        <w:jc w:val="center"/>
        <w:rPr>
          <w:rFonts w:ascii="宋体" w:hAnsi="宋体" w:eastAsia="宋体" w:cs="宋体"/>
          <w:sz w:val="24"/>
          <w:szCs w:val="24"/>
        </w:rPr>
      </w:pPr>
      <w:bookmarkStart w:id="30" w:name="_Toc447188666"/>
      <w:bookmarkStart w:id="31" w:name="_Toc447265501"/>
      <w:bookmarkStart w:id="32" w:name="_Toc10210412"/>
      <w:bookmarkStart w:id="33" w:name="_Toc447265215"/>
      <w:bookmarkStart w:id="34" w:name="_Toc4189"/>
      <w:bookmarkStart w:id="35" w:name="_Toc226969277"/>
      <w:bookmarkStart w:id="36" w:name="_Toc16175983"/>
      <w:bookmarkStart w:id="37" w:name="_Toc227057884"/>
      <w:r>
        <w:rPr>
          <w:rFonts w:hint="eastAsia" w:ascii="宋体" w:hAnsi="宋体" w:eastAsia="宋体" w:cs="宋体"/>
          <w:bCs w:val="0"/>
          <w:sz w:val="24"/>
          <w:szCs w:val="24"/>
        </w:rPr>
        <w:t>投标人须知前附表</w:t>
      </w:r>
      <w:bookmarkEnd w:id="30"/>
      <w:bookmarkEnd w:id="31"/>
      <w:bookmarkEnd w:id="32"/>
      <w:bookmarkEnd w:id="33"/>
      <w:bookmarkEnd w:id="34"/>
      <w:bookmarkEnd w:id="35"/>
      <w:bookmarkEnd w:id="36"/>
      <w:bookmarkEnd w:id="37"/>
    </w:p>
    <w:p>
      <w:pPr>
        <w:autoSpaceDE w:val="0"/>
        <w:autoSpaceDN w:val="0"/>
        <w:ind w:firstLine="420" w:firstLineChars="200"/>
        <w:rPr>
          <w:rFonts w:ascii="宋体" w:cs="宋体"/>
        </w:rPr>
      </w:pPr>
      <w:r>
        <w:rPr>
          <w:rFonts w:hint="eastAsia" w:ascii="宋体" w:hAnsi="宋体" w:cs="宋体"/>
          <w:szCs w:val="21"/>
        </w:rPr>
        <w:t>本投标人须知前附表是对投标人须知正文的具体补充和修改，如有矛盾，以本前附表为准。</w:t>
      </w:r>
    </w:p>
    <w:tbl>
      <w:tblPr>
        <w:tblStyle w:val="40"/>
        <w:tblW w:w="8647"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666"/>
        <w:gridCol w:w="614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blHeader/>
        </w:trPr>
        <w:tc>
          <w:tcPr>
            <w:tcW w:w="840" w:type="dxa"/>
            <w:tcBorders>
              <w:top w:val="single" w:color="auto" w:sz="8" w:space="0"/>
            </w:tcBorders>
            <w:noWrap w:val="0"/>
            <w:vAlign w:val="center"/>
          </w:tcPr>
          <w:p>
            <w:pPr>
              <w:autoSpaceDE w:val="0"/>
              <w:autoSpaceDN w:val="0"/>
              <w:spacing w:line="360" w:lineRule="exact"/>
              <w:jc w:val="center"/>
              <w:rPr>
                <w:rFonts w:ascii="宋体" w:hAnsi="宋体" w:cs="宋体"/>
                <w:b/>
                <w:szCs w:val="21"/>
              </w:rPr>
            </w:pPr>
            <w:r>
              <w:rPr>
                <w:rFonts w:hint="eastAsia" w:ascii="宋体" w:hAnsi="宋体" w:cs="宋体"/>
                <w:b/>
                <w:szCs w:val="21"/>
              </w:rPr>
              <w:t>序号</w:t>
            </w:r>
          </w:p>
        </w:tc>
        <w:tc>
          <w:tcPr>
            <w:tcW w:w="1666" w:type="dxa"/>
            <w:tcBorders>
              <w:top w:val="single" w:color="auto" w:sz="8" w:space="0"/>
            </w:tcBorders>
            <w:noWrap w:val="0"/>
            <w:vAlign w:val="center"/>
          </w:tcPr>
          <w:p>
            <w:pPr>
              <w:autoSpaceDE w:val="0"/>
              <w:autoSpaceDN w:val="0"/>
              <w:spacing w:line="360" w:lineRule="exact"/>
              <w:jc w:val="center"/>
              <w:rPr>
                <w:rFonts w:ascii="宋体" w:hAnsi="宋体" w:cs="宋体"/>
                <w:b/>
                <w:szCs w:val="21"/>
              </w:rPr>
            </w:pPr>
            <w:r>
              <w:rPr>
                <w:rFonts w:hint="eastAsia" w:ascii="宋体" w:hAnsi="宋体" w:cs="宋体"/>
                <w:b/>
                <w:szCs w:val="21"/>
              </w:rPr>
              <w:t>条款名称</w:t>
            </w:r>
          </w:p>
        </w:tc>
        <w:tc>
          <w:tcPr>
            <w:tcW w:w="6141" w:type="dxa"/>
            <w:tcBorders>
              <w:top w:val="single" w:color="auto" w:sz="8" w:space="0"/>
            </w:tcBorders>
            <w:noWrap w:val="0"/>
            <w:vAlign w:val="center"/>
          </w:tcPr>
          <w:p>
            <w:pPr>
              <w:autoSpaceDE w:val="0"/>
              <w:autoSpaceDN w:val="0"/>
              <w:spacing w:line="360" w:lineRule="exact"/>
              <w:jc w:val="center"/>
              <w:rPr>
                <w:rFonts w:ascii="宋体" w:hAnsi="宋体" w:cs="宋体"/>
                <w:b/>
                <w:szCs w:val="21"/>
              </w:rPr>
            </w:pPr>
            <w:r>
              <w:rPr>
                <w:rFonts w:hint="eastAsia" w:ascii="宋体" w:hAnsi="宋体" w:cs="宋体"/>
                <w:b/>
                <w:szCs w:val="21"/>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2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招标人</w:t>
            </w:r>
          </w:p>
        </w:tc>
        <w:tc>
          <w:tcPr>
            <w:tcW w:w="6141" w:type="dxa"/>
            <w:noWrap w:val="0"/>
            <w:vAlign w:val="center"/>
          </w:tcPr>
          <w:p>
            <w:pPr>
              <w:spacing w:line="380" w:lineRule="exact"/>
              <w:rPr>
                <w:rFonts w:hint="eastAsia" w:ascii="宋体"/>
                <w:szCs w:val="21"/>
              </w:rPr>
            </w:pPr>
            <w:r>
              <w:rPr>
                <w:rFonts w:hint="eastAsia" w:ascii="宋体" w:hAnsi="宋体"/>
                <w:szCs w:val="21"/>
              </w:rPr>
              <w:t xml:space="preserve">招标人：中国地质工程集团有限公司                                </w:t>
            </w:r>
          </w:p>
          <w:p>
            <w:pPr>
              <w:spacing w:line="380" w:lineRule="exact"/>
              <w:rPr>
                <w:rFonts w:hint="eastAsia" w:asci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址：江苏省</w:t>
            </w:r>
            <w:r>
              <w:rPr>
                <w:rFonts w:hint="eastAsia" w:ascii="宋体" w:hAnsi="宋体"/>
                <w:szCs w:val="21"/>
                <w:lang w:val="en-US" w:eastAsia="zh-CN"/>
              </w:rPr>
              <w:t>南京</w:t>
            </w:r>
            <w:r>
              <w:rPr>
                <w:rFonts w:hint="eastAsia" w:ascii="宋体" w:hAnsi="宋体"/>
                <w:szCs w:val="21"/>
              </w:rPr>
              <w:t xml:space="preserve">市鼓楼区江东北路301号1栋24楼 </w:t>
            </w:r>
          </w:p>
          <w:p>
            <w:pPr>
              <w:spacing w:line="380" w:lineRule="exact"/>
              <w:rPr>
                <w:rFonts w:hint="eastAsia" w:ascii="宋体"/>
                <w:szCs w:val="21"/>
              </w:rPr>
            </w:pPr>
            <w:r>
              <w:rPr>
                <w:rFonts w:hint="eastAsia" w:ascii="宋体" w:hAnsi="宋体"/>
                <w:szCs w:val="21"/>
              </w:rPr>
              <w:t xml:space="preserve">联系人：马子雯 </w:t>
            </w:r>
          </w:p>
          <w:p>
            <w:pPr>
              <w:spacing w:line="360" w:lineRule="exact"/>
              <w:rPr>
                <w:rFonts w:hint="eastAsia"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话：025-86262905</w:t>
            </w:r>
          </w:p>
          <w:p>
            <w:pPr>
              <w:spacing w:line="360" w:lineRule="exact"/>
              <w:rPr>
                <w:rFonts w:ascii="宋体" w:hAnsi="宋体"/>
                <w:szCs w:val="21"/>
              </w:rPr>
            </w:pPr>
            <w:r>
              <w:rPr>
                <w:rFonts w:hint="eastAsia" w:ascii="宋体" w:hAnsi="宋体"/>
                <w:szCs w:val="21"/>
              </w:rPr>
              <w:t>邮  箱：zgdzjscg@163.com</w:t>
            </w:r>
            <w:r>
              <w:rPr>
                <w:rFonts w:ascii="宋体" w:hAnsi="宋体"/>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53"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项目名称</w:t>
            </w:r>
          </w:p>
        </w:tc>
        <w:tc>
          <w:tcPr>
            <w:tcW w:w="6141" w:type="dxa"/>
            <w:noWrap w:val="0"/>
            <w:vAlign w:val="center"/>
          </w:tcPr>
          <w:p>
            <w:pPr>
              <w:autoSpaceDE w:val="0"/>
              <w:autoSpaceDN w:val="0"/>
              <w:spacing w:line="360" w:lineRule="exact"/>
              <w:rPr>
                <w:rFonts w:hint="eastAsia" w:ascii="宋体" w:hAnsi="宋体" w:cs="宋体"/>
                <w:szCs w:val="21"/>
              </w:rPr>
            </w:pPr>
            <w:r>
              <w:rPr>
                <w:rFonts w:hint="eastAsia" w:ascii="宋体" w:hAnsi="宋体" w:cs="宋体"/>
                <w:bCs/>
                <w:szCs w:val="21"/>
              </w:rPr>
              <w:t>S103济枣线山亭区凫城至市中区曾店段改建工程钢材采购</w:t>
            </w:r>
            <w:r>
              <w:rPr>
                <w:rFonts w:hint="eastAsia" w:ascii="宋体" w:hAnsi="宋体" w:cs="宋体"/>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3</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资金来源</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自筹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5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4</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招标内容</w:t>
            </w:r>
          </w:p>
        </w:tc>
        <w:tc>
          <w:tcPr>
            <w:tcW w:w="6141" w:type="dxa"/>
            <w:noWrap w:val="0"/>
            <w:vAlign w:val="center"/>
          </w:tcPr>
          <w:p>
            <w:pPr>
              <w:autoSpaceDE w:val="0"/>
              <w:autoSpaceDN w:val="0"/>
              <w:spacing w:line="360" w:lineRule="exact"/>
              <w:rPr>
                <w:rFonts w:ascii="宋体" w:hAnsi="宋体" w:cs="宋体"/>
                <w:szCs w:val="21"/>
              </w:rPr>
            </w:pPr>
            <w:r>
              <w:rPr>
                <w:rFonts w:hint="eastAsia"/>
                <w:bCs/>
                <w:color w:val="auto"/>
                <w:sz w:val="21"/>
                <w:szCs w:val="21"/>
              </w:rPr>
              <w:t>项目所需</w:t>
            </w:r>
            <w:r>
              <w:rPr>
                <w:rFonts w:hint="eastAsia"/>
                <w:bCs/>
                <w:color w:val="auto"/>
                <w:sz w:val="21"/>
                <w:szCs w:val="21"/>
                <w:lang w:val="en-US" w:eastAsia="zh-CN"/>
              </w:rPr>
              <w:t>钢材约5000</w:t>
            </w:r>
            <w:r>
              <w:rPr>
                <w:rFonts w:hint="eastAsia"/>
                <w:bCs/>
                <w:color w:val="auto"/>
                <w:sz w:val="21"/>
                <w:szCs w:val="21"/>
              </w:rPr>
              <w:t>吨</w:t>
            </w:r>
            <w:r>
              <w:rPr>
                <w:rFonts w:hint="eastAsia"/>
                <w:bCs/>
                <w:sz w:val="21"/>
                <w:szCs w:val="21"/>
              </w:rPr>
              <w:t>（</w:t>
            </w:r>
            <w:r>
              <w:rPr>
                <w:rFonts w:hint="eastAsia" w:ascii="宋体" w:hAnsi="宋体" w:eastAsia="宋体" w:cs="宋体"/>
              </w:rPr>
              <w:t>数量、品类均为暂估，不作为结算依据，具体结算以</w:t>
            </w:r>
            <w:r>
              <w:rPr>
                <w:rFonts w:hint="eastAsia" w:ascii="宋体" w:hAnsi="宋体" w:cs="宋体"/>
                <w:lang w:eastAsia="zh-CN"/>
              </w:rPr>
              <w:t>招标人</w:t>
            </w:r>
            <w:r>
              <w:rPr>
                <w:rFonts w:hint="eastAsia" w:ascii="宋体" w:hAnsi="宋体" w:eastAsia="宋体" w:cs="宋体"/>
              </w:rPr>
              <w:t>实际进货并验收合格的数量为准</w:t>
            </w:r>
            <w:r>
              <w:rPr>
                <w:rFonts w:hint="eastAsia"/>
                <w:bCs/>
                <w:sz w:val="21"/>
                <w:szCs w:val="21"/>
              </w:rPr>
              <w:t>）</w:t>
            </w: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5</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服务期限</w:t>
            </w:r>
          </w:p>
        </w:tc>
        <w:tc>
          <w:tcPr>
            <w:tcW w:w="6141" w:type="dxa"/>
            <w:noWrap w:val="0"/>
            <w:vAlign w:val="center"/>
          </w:tcPr>
          <w:p>
            <w:pPr>
              <w:pStyle w:val="36"/>
              <w:shd w:val="clear" w:color="auto" w:fill="FFFFFF"/>
              <w:spacing w:before="0" w:beforeAutospacing="0" w:after="0" w:afterAutospacing="0" w:line="380" w:lineRule="exact"/>
              <w:jc w:val="both"/>
              <w:rPr>
                <w:kern w:val="2"/>
                <w:sz w:val="21"/>
                <w:szCs w:val="21"/>
              </w:rPr>
            </w:pPr>
            <w:r>
              <w:rPr>
                <w:rFonts w:hint="eastAsia" w:ascii="宋体" w:hAnsi="宋体" w:eastAsia="宋体" w:cs="Times New Roman"/>
                <w:kern w:val="2"/>
                <w:sz w:val="21"/>
                <w:szCs w:val="21"/>
                <w:lang w:val="en-US" w:eastAsia="zh-CN" w:bidi="ar-SA"/>
              </w:rPr>
              <w:t>本钢材采购工程的工期要求24个月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6</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标包划分</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不划分标包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7</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招标方式</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公开招标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8</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招标组织形式</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自行组织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9</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资格审查方式</w:t>
            </w:r>
          </w:p>
        </w:tc>
        <w:tc>
          <w:tcPr>
            <w:tcW w:w="6141" w:type="dxa"/>
            <w:noWrap w:val="0"/>
            <w:vAlign w:val="center"/>
          </w:tcPr>
          <w:p>
            <w:pPr>
              <w:autoSpaceDE w:val="0"/>
              <w:autoSpaceDN w:val="0"/>
              <w:spacing w:line="360" w:lineRule="exact"/>
              <w:rPr>
                <w:rFonts w:ascii="宋体" w:hAnsi="宋体" w:cs="宋体"/>
                <w:szCs w:val="21"/>
              </w:rPr>
            </w:pPr>
            <w:r>
              <w:rPr>
                <w:rFonts w:hint="eastAsia" w:hAnsi="宋体"/>
                <w:bCs/>
                <w:szCs w:val="21"/>
              </w:rPr>
              <w:t>本项目实行资格后审的方式，投标人自行判断是否符合招标公告的要求，并决定是否购买招标文件和参加投标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10</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投标人资格要求</w:t>
            </w:r>
          </w:p>
        </w:tc>
        <w:tc>
          <w:tcPr>
            <w:tcW w:w="6141" w:type="dxa"/>
            <w:noWrap w:val="0"/>
            <w:vAlign w:val="center"/>
          </w:tcPr>
          <w:p>
            <w:pPr>
              <w:pStyle w:val="36"/>
              <w:shd w:val="clear" w:color="auto" w:fill="FFFFFF"/>
              <w:spacing w:before="0" w:beforeAutospacing="0" w:after="0" w:afterAutospacing="0" w:line="380" w:lineRule="exact"/>
              <w:rPr>
                <w:rFonts w:hint="eastAsia" w:cs="Times New Roman"/>
                <w:kern w:val="2"/>
                <w:sz w:val="21"/>
                <w:szCs w:val="21"/>
              </w:rPr>
            </w:pPr>
            <w:r>
              <w:rPr>
                <w:rFonts w:cs="Times New Roman"/>
                <w:kern w:val="2"/>
                <w:sz w:val="21"/>
                <w:szCs w:val="21"/>
              </w:rPr>
              <w:t>1</w:t>
            </w:r>
            <w:r>
              <w:rPr>
                <w:rFonts w:hint="eastAsia" w:cs="Times New Roman"/>
                <w:kern w:val="2"/>
                <w:sz w:val="21"/>
                <w:szCs w:val="21"/>
              </w:rPr>
              <w:t>、投标人应为中华人民共和国境内依法注册的独立企业法人机构或其他组织，具有有效的营业执照或事业单位法人证书，应包含相应的经营范围或业务范围（提供有效的营业执照或事业单位法人证书）；</w:t>
            </w:r>
          </w:p>
          <w:p>
            <w:pPr>
              <w:pStyle w:val="36"/>
              <w:shd w:val="clear" w:color="auto" w:fill="FFFFFF"/>
              <w:spacing w:before="0" w:beforeAutospacing="0" w:after="0" w:afterAutospacing="0" w:line="380" w:lineRule="exact"/>
              <w:rPr>
                <w:rFonts w:hint="eastAsia" w:cs="Times New Roman"/>
                <w:kern w:val="2"/>
                <w:sz w:val="21"/>
                <w:szCs w:val="21"/>
              </w:rPr>
            </w:pPr>
            <w:r>
              <w:rPr>
                <w:rFonts w:hint="eastAsia" w:cs="Times New Roman"/>
                <w:kern w:val="2"/>
                <w:sz w:val="21"/>
                <w:szCs w:val="21"/>
              </w:rPr>
              <w:t>2、符合《中华人民共和国招标投标法》对投标人其他资质要求；</w:t>
            </w:r>
          </w:p>
          <w:p>
            <w:pPr>
              <w:pStyle w:val="36"/>
              <w:shd w:val="clear" w:color="auto" w:fill="FFFFFF"/>
              <w:spacing w:before="0" w:beforeAutospacing="0" w:after="0" w:afterAutospacing="0" w:line="380" w:lineRule="exact"/>
              <w:rPr>
                <w:rFonts w:cs="Times New Roman"/>
                <w:kern w:val="2"/>
                <w:sz w:val="21"/>
                <w:szCs w:val="21"/>
              </w:rPr>
            </w:pPr>
            <w:r>
              <w:rPr>
                <w:rFonts w:hint="eastAsia" w:cs="Times New Roman"/>
                <w:kern w:val="2"/>
                <w:sz w:val="21"/>
                <w:szCs w:val="21"/>
              </w:rPr>
              <w:t>3、投标人须为未被列入“信用中国”网站（</w:t>
            </w:r>
            <w:r>
              <w:rPr>
                <w:rFonts w:cs="Times New Roman"/>
                <w:kern w:val="2"/>
                <w:sz w:val="21"/>
                <w:szCs w:val="21"/>
              </w:rPr>
              <w:t>www.creditchina.gov.cn</w:t>
            </w:r>
            <w:r>
              <w:rPr>
                <w:rFonts w:hint="eastAsia" w:cs="Times New Roman"/>
                <w:kern w:val="2"/>
                <w:sz w:val="21"/>
                <w:szCs w:val="21"/>
              </w:rPr>
              <w:t>）记录失信被执行人或重大税收违法案件当事人名单或政府采购严重违法失信行为记录名单；不处于中国政府采购网（www.ccgp.gov.cn）政府采购严重违法失信行为信息记录中的禁止参加政府采购活动期间等的方可参加本项目的投标。（时间以投标截止日前五个工作日至投标截止日查询结果为准，投标人须将查询后的网页截图加盖单位公章后装入投标文件内，查询结果以开标当天现场查询结果为准）；</w:t>
            </w:r>
          </w:p>
          <w:p>
            <w:pPr>
              <w:pStyle w:val="36"/>
              <w:shd w:val="clear" w:color="auto" w:fill="FFFFFF"/>
              <w:spacing w:before="0" w:beforeAutospacing="0" w:after="0" w:afterAutospacing="0" w:line="380" w:lineRule="exact"/>
              <w:rPr>
                <w:rFonts w:cs="Times New Roman"/>
                <w:kern w:val="2"/>
                <w:sz w:val="21"/>
                <w:szCs w:val="21"/>
              </w:rPr>
            </w:pPr>
            <w:r>
              <w:rPr>
                <w:rFonts w:hint="eastAsia" w:cs="Times New Roman"/>
                <w:kern w:val="2"/>
                <w:sz w:val="21"/>
                <w:szCs w:val="21"/>
              </w:rPr>
              <w:t>4、单位负责人为同一人或者存在控股、管理关系的不同单位，不得同时参加投标；</w:t>
            </w:r>
          </w:p>
          <w:p>
            <w:pPr>
              <w:pStyle w:val="36"/>
              <w:shd w:val="clear" w:color="auto" w:fill="FFFFFF"/>
              <w:spacing w:before="0" w:beforeAutospacing="0" w:after="0" w:afterAutospacing="0" w:line="380" w:lineRule="exact"/>
              <w:rPr>
                <w:rFonts w:cs="Times New Roman"/>
                <w:kern w:val="2"/>
                <w:sz w:val="21"/>
                <w:szCs w:val="21"/>
              </w:rPr>
            </w:pPr>
            <w:r>
              <w:rPr>
                <w:rFonts w:hint="eastAsia" w:cs="Times New Roman"/>
                <w:kern w:val="2"/>
                <w:sz w:val="21"/>
              </w:rPr>
              <w:t>5、本项目不接受联合体投标。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11</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投标人不得存在的情形</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）投标人为不具有独立企业法人机构或其他组织；</w:t>
            </w:r>
          </w:p>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）被责令停业的；</w:t>
            </w:r>
          </w:p>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）被暂停或者取消投标资格的；</w:t>
            </w:r>
          </w:p>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）财产被接管或者冻结的；</w:t>
            </w:r>
          </w:p>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）在最近三年内有骗取中标、严重违约、重大工程质量或者安全问题的；</w:t>
            </w:r>
          </w:p>
          <w:p>
            <w:pPr>
              <w:autoSpaceDE w:val="0"/>
              <w:autoSpaceDN w:val="0"/>
              <w:spacing w:line="360" w:lineRule="exact"/>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）法律法规限定的其他情形。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2</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踏勘现场</w:t>
            </w:r>
          </w:p>
        </w:tc>
        <w:tc>
          <w:tcPr>
            <w:tcW w:w="6141" w:type="dxa"/>
            <w:noWrap w:val="0"/>
            <w:vAlign w:val="center"/>
          </w:tcPr>
          <w:p>
            <w:pPr>
              <w:autoSpaceDE w:val="0"/>
              <w:autoSpaceDN w:val="0"/>
              <w:spacing w:line="360" w:lineRule="exact"/>
              <w:rPr>
                <w:rFonts w:hint="eastAsia" w:ascii="宋体" w:hAnsi="宋体" w:cs="宋体"/>
                <w:szCs w:val="21"/>
              </w:rPr>
            </w:pPr>
            <w:r>
              <w:rPr>
                <w:rFonts w:hint="eastAsia" w:ascii="宋体" w:hAnsi="宋体" w:cs="宋体"/>
                <w:szCs w:val="21"/>
              </w:rPr>
              <w:t>不组织。投标人在投标之前需自行到现场踏勘，无论投标人是否踏勘，均视为投标人已完全了解现场状况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3</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投标预备会</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不召开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4</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投标人提出澄清问题的截止时间和方式</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截止时间：以在中国地质工程集团有限公司网站公告之日起</w:t>
            </w:r>
            <w:r>
              <w:rPr>
                <w:rFonts w:hint="eastAsia" w:ascii="宋体" w:hAnsi="宋体" w:cs="宋体"/>
                <w:szCs w:val="21"/>
                <w:u w:val="single"/>
              </w:rPr>
              <w:t>第三天</w:t>
            </w:r>
            <w:r>
              <w:rPr>
                <w:rFonts w:hint="eastAsia" w:ascii="宋体" w:hAnsi="宋体" w:cs="宋体"/>
                <w:szCs w:val="21"/>
              </w:rPr>
              <w:t>的17时00分（北京时间，周末及法定节假日除外）</w:t>
            </w:r>
          </w:p>
          <w:p>
            <w:pPr>
              <w:autoSpaceDE w:val="0"/>
              <w:autoSpaceDN w:val="0"/>
              <w:spacing w:line="360" w:lineRule="exact"/>
              <w:rPr>
                <w:rFonts w:ascii="宋体" w:hAnsi="宋体" w:cs="宋体"/>
                <w:szCs w:val="21"/>
              </w:rPr>
            </w:pPr>
            <w:r>
              <w:rPr>
                <w:rFonts w:hint="eastAsia" w:ascii="宋体" w:hAnsi="宋体" w:cs="宋体"/>
                <w:szCs w:val="21"/>
              </w:rPr>
              <w:t>提出澄清的方式：书面方式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5</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招标人发出招标文件澄清或者修改的截止时间和方式</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截止时间：以在中国地质工程集团有限公司网站公告之日起</w:t>
            </w:r>
            <w:r>
              <w:rPr>
                <w:rFonts w:hint="eastAsia" w:ascii="宋体" w:hAnsi="宋体" w:cs="宋体"/>
                <w:szCs w:val="21"/>
                <w:u w:val="single"/>
              </w:rPr>
              <w:t>第五天</w:t>
            </w:r>
            <w:r>
              <w:rPr>
                <w:rFonts w:hint="eastAsia" w:ascii="宋体" w:hAnsi="宋体" w:cs="宋体"/>
                <w:szCs w:val="21"/>
              </w:rPr>
              <w:t>的17时00分（北京时间，周末及法定节假日除外）</w:t>
            </w:r>
          </w:p>
          <w:p>
            <w:pPr>
              <w:autoSpaceDE w:val="0"/>
              <w:autoSpaceDN w:val="0"/>
              <w:spacing w:line="360" w:lineRule="exact"/>
              <w:rPr>
                <w:rFonts w:hint="eastAsia" w:ascii="宋体" w:hAnsi="宋体" w:cs="宋体"/>
                <w:szCs w:val="21"/>
              </w:rPr>
            </w:pPr>
            <w:r>
              <w:rPr>
                <w:rFonts w:hint="eastAsia" w:ascii="宋体" w:hAnsi="宋体" w:cs="宋体"/>
                <w:szCs w:val="21"/>
              </w:rPr>
              <w:t>发出澄清或者修改的方式：书面方式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6</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投标文件的盖章或者签字</w:t>
            </w:r>
          </w:p>
        </w:tc>
        <w:tc>
          <w:tcPr>
            <w:tcW w:w="6141" w:type="dxa"/>
            <w:noWrap w:val="0"/>
            <w:vAlign w:val="center"/>
          </w:tcPr>
          <w:p>
            <w:pPr>
              <w:autoSpaceDE w:val="0"/>
              <w:autoSpaceDN w:val="0"/>
              <w:spacing w:line="360" w:lineRule="exact"/>
              <w:rPr>
                <w:rFonts w:hint="eastAsia" w:ascii="宋体" w:hAnsi="宋体" w:cs="宋体"/>
                <w:szCs w:val="21"/>
              </w:rPr>
            </w:pPr>
            <w:r>
              <w:rPr>
                <w:rFonts w:hint="eastAsia" w:ascii="宋体" w:hAnsi="宋体" w:cs="宋体"/>
                <w:szCs w:val="21"/>
              </w:rPr>
              <w:t>（1）投标文件封面、投标函等要求签字盖章处均应加盖单位公章并经法定代表人或委托代理人签字或盖章。</w:t>
            </w:r>
          </w:p>
          <w:p>
            <w:pPr>
              <w:autoSpaceDE w:val="0"/>
              <w:autoSpaceDN w:val="0"/>
              <w:spacing w:line="360" w:lineRule="exact"/>
              <w:rPr>
                <w:rFonts w:hint="eastAsia" w:ascii="宋体" w:hAnsi="宋体" w:cs="宋体"/>
                <w:szCs w:val="21"/>
              </w:rPr>
            </w:pPr>
            <w:r>
              <w:rPr>
                <w:rFonts w:hint="eastAsia" w:ascii="宋体" w:hAnsi="宋体" w:cs="宋体"/>
                <w:szCs w:val="21"/>
              </w:rPr>
              <w:t>（2）</w:t>
            </w:r>
            <w:r>
              <w:rPr>
                <w:rFonts w:hint="eastAsia" w:ascii="宋体" w:hAnsi="宋体"/>
              </w:rPr>
              <w:t>由法定代表人签字或盖章的在投标文件中须提交《法定代表人身份证明》，</w:t>
            </w:r>
            <w:r>
              <w:rPr>
                <w:rFonts w:hint="eastAsia" w:ascii="宋体" w:hAnsi="宋体" w:cs="宋体"/>
                <w:szCs w:val="21"/>
              </w:rPr>
              <w:t>由委托代理人签字或盖章的在投标文件中须同时提交法定代表人签署的</w:t>
            </w:r>
            <w:r>
              <w:rPr>
                <w:rFonts w:hint="eastAsia" w:ascii="宋体" w:hAnsi="宋体"/>
                <w:szCs w:val="21"/>
              </w:rPr>
              <w:t>《法定代表人授权委托书》</w:t>
            </w:r>
            <w:r>
              <w:rPr>
                <w:rFonts w:hint="eastAsia" w:ascii="宋体" w:hAnsi="宋体" w:cs="宋体"/>
                <w:szCs w:val="21"/>
              </w:rPr>
              <w:t>。</w:t>
            </w:r>
          </w:p>
          <w:p>
            <w:pPr>
              <w:autoSpaceDE w:val="0"/>
              <w:autoSpaceDN w:val="0"/>
              <w:spacing w:line="360" w:lineRule="exact"/>
              <w:rPr>
                <w:rFonts w:ascii="宋体" w:hAnsi="宋体" w:cs="宋体"/>
                <w:szCs w:val="21"/>
              </w:rPr>
            </w:pPr>
            <w:r>
              <w:rPr>
                <w:rFonts w:hint="eastAsia" w:ascii="宋体" w:hAnsi="宋体"/>
                <w:szCs w:val="21"/>
              </w:rPr>
              <w:t>（3）</w:t>
            </w:r>
            <w:r>
              <w:rPr>
                <w:rFonts w:hint="eastAsia" w:ascii="宋体" w:hAnsi="宋体"/>
              </w:rPr>
              <w:t>《法定代表人身份证明》、</w:t>
            </w:r>
            <w:r>
              <w:rPr>
                <w:rFonts w:hint="eastAsia" w:ascii="宋体" w:hAnsi="宋体"/>
                <w:szCs w:val="21"/>
              </w:rPr>
              <w:t>《法定代表人授权委托书》格式</w:t>
            </w:r>
            <w:r>
              <w:rPr>
                <w:rFonts w:hint="eastAsia" w:ascii="宋体" w:hAnsi="宋体" w:cs="宋体"/>
                <w:szCs w:val="21"/>
              </w:rPr>
              <w:t>、签字、盖章及内容均应符合招标文件要求，否则</w:t>
            </w:r>
            <w:r>
              <w:rPr>
                <w:rFonts w:hint="eastAsia" w:ascii="宋体" w:hAnsi="宋体"/>
              </w:rPr>
              <w:t>《法定代表人身份证明》、</w:t>
            </w:r>
            <w:r>
              <w:rPr>
                <w:rFonts w:hint="eastAsia" w:ascii="宋体" w:hAnsi="宋体"/>
                <w:szCs w:val="21"/>
              </w:rPr>
              <w:t>《法定代表人授权委托书》</w:t>
            </w:r>
            <w:r>
              <w:rPr>
                <w:rFonts w:hint="eastAsia" w:ascii="宋体" w:hAnsi="宋体" w:cs="宋体"/>
                <w:szCs w:val="21"/>
              </w:rPr>
              <w:t>无效。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7</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szCs w:val="21"/>
              </w:rPr>
              <w:t>最高投标限价</w:t>
            </w:r>
          </w:p>
        </w:tc>
        <w:tc>
          <w:tcPr>
            <w:tcW w:w="6141" w:type="dxa"/>
            <w:noWrap w:val="0"/>
            <w:vAlign w:val="center"/>
          </w:tcPr>
          <w:p>
            <w:pPr>
              <w:autoSpaceDE w:val="0"/>
              <w:autoSpaceDN w:val="0"/>
              <w:spacing w:line="36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不得超过</w:t>
            </w:r>
            <w:r>
              <w:rPr>
                <w:rFonts w:hint="eastAsia" w:ascii="宋体" w:hAnsi="宋体" w:cs="宋体"/>
                <w:color w:val="000000" w:themeColor="text1"/>
                <w:szCs w:val="21"/>
                <w:lang w:val="en-US" w:eastAsia="zh-CN"/>
                <w14:textFill>
                  <w14:solidFill>
                    <w14:schemeClr w14:val="tx1"/>
                  </w14:solidFill>
                </w14:textFill>
              </w:rPr>
              <w:t>招标公告发布</w:t>
            </w:r>
            <w:r>
              <w:rPr>
                <w:rFonts w:hint="eastAsia" w:ascii="宋体" w:hAnsi="宋体" w:cs="宋体"/>
                <w:color w:val="000000" w:themeColor="text1"/>
                <w:szCs w:val="21"/>
                <w14:textFill>
                  <w14:solidFill>
                    <w14:schemeClr w14:val="tx1"/>
                  </w14:solidFill>
                </w14:textFill>
              </w:rPr>
              <w:t>当日《</w:t>
            </w:r>
            <w:r>
              <w:rPr>
                <w:rFonts w:hint="eastAsia" w:ascii="宋体" w:hAnsi="宋体" w:cs="宋体"/>
                <w:color w:val="000000" w:themeColor="text1"/>
                <w:szCs w:val="21"/>
                <w:lang w:val="en-US" w:eastAsia="zh-CN"/>
                <w14:textFill>
                  <w14:solidFill>
                    <w14:schemeClr w14:val="tx1"/>
                  </w14:solidFill>
                </w14:textFill>
              </w:rPr>
              <w:t>西本新干线</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西本钢铁网</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lang w:val="en-US" w:eastAsia="zh-CN"/>
                <w14:textFill>
                  <w14:solidFill>
                    <w14:schemeClr w14:val="tx1"/>
                  </w14:solidFill>
                </w14:textFill>
              </w:rPr>
              <w:t>济南市</w:t>
            </w:r>
            <w:r>
              <w:rPr>
                <w:rFonts w:hint="eastAsia" w:ascii="宋体" w:hAnsi="宋体" w:cs="宋体"/>
                <w:color w:val="000000" w:themeColor="text1"/>
                <w:szCs w:val="21"/>
                <w14:textFill>
                  <w14:solidFill>
                    <w14:schemeClr w14:val="tx1"/>
                  </w14:solidFill>
                </w14:textFill>
              </w:rPr>
              <w:t>建材交易指导价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8</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投标报价具体</w:t>
            </w:r>
          </w:p>
          <w:p>
            <w:pPr>
              <w:autoSpaceDE w:val="0"/>
              <w:autoSpaceDN w:val="0"/>
              <w:spacing w:line="360" w:lineRule="exact"/>
              <w:jc w:val="center"/>
              <w:rPr>
                <w:rFonts w:ascii="宋体" w:hAnsi="宋体" w:cs="宋体"/>
                <w:szCs w:val="21"/>
              </w:rPr>
            </w:pPr>
            <w:r>
              <w:rPr>
                <w:rFonts w:hint="eastAsia" w:ascii="宋体" w:hAnsi="宋体" w:cs="宋体"/>
                <w:szCs w:val="21"/>
              </w:rPr>
              <w:t>要求</w:t>
            </w:r>
          </w:p>
        </w:tc>
        <w:tc>
          <w:tcPr>
            <w:tcW w:w="6141" w:type="dxa"/>
            <w:noWrap w:val="0"/>
            <w:vAlign w:val="center"/>
          </w:tcPr>
          <w:p>
            <w:pPr>
              <w:numPr>
                <w:ilvl w:val="0"/>
                <w:numId w:val="2"/>
              </w:numPr>
              <w:autoSpaceDE w:val="0"/>
              <w:autoSpaceDN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报价按照</w:t>
            </w:r>
            <w:r>
              <w:rPr>
                <w:rFonts w:hint="eastAsia" w:ascii="宋体" w:hAnsi="宋体" w:cs="宋体"/>
                <w:color w:val="000000" w:themeColor="text1"/>
                <w:szCs w:val="21"/>
                <w:lang w:val="en-US" w:eastAsia="zh-CN"/>
                <w14:textFill>
                  <w14:solidFill>
                    <w14:schemeClr w14:val="tx1"/>
                  </w14:solidFill>
                </w14:textFill>
              </w:rPr>
              <w:t>招标公告发布</w:t>
            </w:r>
            <w:r>
              <w:rPr>
                <w:rFonts w:hint="eastAsia" w:ascii="宋体" w:hAnsi="宋体" w:cs="宋体"/>
                <w:color w:val="000000" w:themeColor="text1"/>
                <w:szCs w:val="21"/>
                <w14:textFill>
                  <w14:solidFill>
                    <w14:schemeClr w14:val="tx1"/>
                  </w14:solidFill>
                </w14:textFill>
              </w:rPr>
              <w:t>当日《</w:t>
            </w:r>
            <w:r>
              <w:rPr>
                <w:rFonts w:hint="eastAsia" w:ascii="宋体" w:hAnsi="宋体" w:cs="宋体"/>
                <w:color w:val="000000" w:themeColor="text1"/>
                <w:szCs w:val="21"/>
                <w:lang w:val="en-US" w:eastAsia="zh-CN"/>
                <w14:textFill>
                  <w14:solidFill>
                    <w14:schemeClr w14:val="tx1"/>
                  </w14:solidFill>
                </w14:textFill>
              </w:rPr>
              <w:t>西本新干线</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r>
              <w:rPr>
                <w:rFonts w:ascii="宋体" w:hAnsi="宋体" w:eastAsia="宋体" w:cs="宋体"/>
                <w:sz w:val="24"/>
                <w:szCs w:val="24"/>
              </w:rPr>
              <w:fldChar w:fldCharType="begin"/>
            </w:r>
            <w:r>
              <w:rPr>
                <w:rFonts w:ascii="宋体" w:hAnsi="宋体" w:eastAsia="宋体" w:cs="宋体"/>
                <w:sz w:val="24"/>
                <w:szCs w:val="24"/>
              </w:rPr>
              <w:instrText xml:space="preserve"> HYPERLINK "http://jinan.96369.net/city/Quotation/quotation/1" </w:instrText>
            </w:r>
            <w:r>
              <w:rPr>
                <w:rFonts w:ascii="宋体" w:hAnsi="宋体" w:eastAsia="宋体" w:cs="宋体"/>
                <w:sz w:val="24"/>
                <w:szCs w:val="24"/>
              </w:rPr>
              <w:fldChar w:fldCharType="separate"/>
            </w:r>
            <w:r>
              <w:rPr>
                <w:rStyle w:val="46"/>
                <w:rFonts w:ascii="宋体" w:hAnsi="宋体" w:eastAsia="宋体" w:cs="宋体"/>
                <w:sz w:val="24"/>
                <w:szCs w:val="24"/>
              </w:rPr>
              <w:t>http://jinan.96369.net/city/Quotation/quotation/1</w:t>
            </w:r>
            <w:r>
              <w:rPr>
                <w:rFonts w:ascii="宋体" w:hAnsi="宋体" w:eastAsia="宋体" w:cs="宋体"/>
                <w:sz w:val="24"/>
                <w:szCs w:val="24"/>
              </w:rPr>
              <w:fldChar w:fldCharType="end"/>
            </w:r>
            <w:r>
              <w:rPr>
                <w:rFonts w:hint="eastAsia" w:ascii="宋体" w:hAnsi="宋体" w:cs="宋体"/>
                <w:sz w:val="24"/>
                <w:szCs w:val="24"/>
                <w:lang w:eastAsia="zh-CN"/>
              </w:rPr>
              <w:t>）</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lang w:val="en-US" w:eastAsia="zh-CN"/>
                <w14:textFill>
                  <w14:solidFill>
                    <w14:schemeClr w14:val="tx1"/>
                  </w14:solidFill>
                </w14:textFill>
              </w:rPr>
              <w:t>济南市</w:t>
            </w:r>
            <w:r>
              <w:rPr>
                <w:rFonts w:hint="eastAsia" w:ascii="宋体" w:hAnsi="宋体" w:cs="宋体"/>
                <w:color w:val="000000" w:themeColor="text1"/>
                <w:szCs w:val="21"/>
                <w14:textFill>
                  <w14:solidFill>
                    <w14:schemeClr w14:val="tx1"/>
                  </w14:solidFill>
                </w14:textFill>
              </w:rPr>
              <w:t>建材交易指导价乘以固定浮动值。</w:t>
            </w:r>
          </w:p>
          <w:p>
            <w:pPr>
              <w:numPr>
                <w:ilvl w:val="0"/>
                <w:numId w:val="2"/>
              </w:numPr>
              <w:autoSpaceDE w:val="0"/>
              <w:autoSpaceDN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报价含上力费、开票税费、运费等；</w:t>
            </w:r>
          </w:p>
          <w:p>
            <w:pPr>
              <w:numPr>
                <w:ilvl w:val="0"/>
                <w:numId w:val="2"/>
              </w:numPr>
              <w:autoSpaceDE w:val="0"/>
              <w:autoSpaceDN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节假日原则上不报价，星期六、日到货价格按星期五计算。个别品种《</w:t>
            </w:r>
            <w:r>
              <w:rPr>
                <w:rFonts w:hint="eastAsia" w:ascii="宋体" w:hAnsi="宋体" w:cs="宋体"/>
                <w:color w:val="000000" w:themeColor="text1"/>
                <w:szCs w:val="21"/>
                <w:lang w:val="en-US" w:eastAsia="zh-CN"/>
                <w14:textFill>
                  <w14:solidFill>
                    <w14:schemeClr w14:val="tx1"/>
                  </w14:solidFill>
                </w14:textFill>
              </w:rPr>
              <w:t>西本新干线</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lang w:val="en-US" w:eastAsia="zh-CN"/>
                <w14:textFill>
                  <w14:solidFill>
                    <w14:schemeClr w14:val="tx1"/>
                  </w14:solidFill>
                </w14:textFill>
              </w:rPr>
              <w:t>济南市</w:t>
            </w:r>
            <w:r>
              <w:rPr>
                <w:rFonts w:hint="eastAsia" w:ascii="宋体" w:hAnsi="宋体" w:cs="宋体"/>
                <w:color w:val="000000" w:themeColor="text1"/>
                <w:szCs w:val="21"/>
                <w14:textFill>
                  <w14:solidFill>
                    <w14:schemeClr w14:val="tx1"/>
                  </w14:solidFill>
                </w14:textFill>
              </w:rPr>
              <w:t>建材交易指导价网价无相对应的价格，按照</w:t>
            </w:r>
            <w:r>
              <w:rPr>
                <w:rFonts w:hint="eastAsia" w:ascii="宋体" w:hAnsi="宋体" w:cs="宋体"/>
                <w:color w:val="000000" w:themeColor="text1"/>
                <w:szCs w:val="21"/>
                <w:lang w:val="en-US" w:eastAsia="zh-CN"/>
                <w14:textFill>
                  <w14:solidFill>
                    <w14:schemeClr w14:val="tx1"/>
                  </w14:solidFill>
                </w14:textFill>
              </w:rPr>
              <w:t>招标公告发布</w:t>
            </w:r>
            <w:r>
              <w:rPr>
                <w:rFonts w:hint="eastAsia" w:ascii="宋体" w:hAnsi="宋体" w:cs="宋体"/>
                <w:color w:val="000000" w:themeColor="text1"/>
                <w:szCs w:val="21"/>
                <w14:textFill>
                  <w14:solidFill>
                    <w14:schemeClr w14:val="tx1"/>
                  </w14:solidFill>
                </w14:textFill>
              </w:rPr>
              <w:t>当日《</w:t>
            </w:r>
            <w:r>
              <w:rPr>
                <w:rFonts w:hint="eastAsia" w:ascii="宋体" w:hAnsi="宋体" w:cs="宋体"/>
                <w:color w:val="000000" w:themeColor="text1"/>
                <w:szCs w:val="21"/>
                <w:lang w:val="en-US" w:eastAsia="zh-CN"/>
                <w14:textFill>
                  <w14:solidFill>
                    <w14:schemeClr w14:val="tx1"/>
                  </w14:solidFill>
                </w14:textFill>
              </w:rPr>
              <w:t>西本钢铁网</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r>
              <w:rPr>
                <w:rFonts w:ascii="宋体" w:hAnsi="宋体" w:eastAsia="宋体" w:cs="宋体"/>
                <w:sz w:val="24"/>
                <w:szCs w:val="24"/>
              </w:rPr>
              <w:fldChar w:fldCharType="begin"/>
            </w:r>
            <w:r>
              <w:rPr>
                <w:rFonts w:ascii="宋体" w:hAnsi="宋体" w:eastAsia="宋体" w:cs="宋体"/>
                <w:sz w:val="24"/>
                <w:szCs w:val="24"/>
              </w:rPr>
              <w:instrText xml:space="preserve"> HYPERLINK "http://www.gtxhw.cn/market_news.asp?dq=17" </w:instrText>
            </w:r>
            <w:r>
              <w:rPr>
                <w:rFonts w:ascii="宋体" w:hAnsi="宋体" w:eastAsia="宋体" w:cs="宋体"/>
                <w:sz w:val="24"/>
                <w:szCs w:val="24"/>
              </w:rPr>
              <w:fldChar w:fldCharType="separate"/>
            </w:r>
            <w:r>
              <w:rPr>
                <w:rStyle w:val="46"/>
                <w:rFonts w:ascii="宋体" w:hAnsi="宋体" w:eastAsia="宋体" w:cs="宋体"/>
                <w:sz w:val="24"/>
                <w:szCs w:val="24"/>
              </w:rPr>
              <w:t>http://www.gtxhw.cn/market_news.asp?dq=17</w:t>
            </w:r>
            <w:r>
              <w:rPr>
                <w:rFonts w:ascii="宋体" w:hAnsi="宋体" w:eastAsia="宋体" w:cs="宋体"/>
                <w:sz w:val="24"/>
                <w:szCs w:val="24"/>
              </w:rPr>
              <w:fldChar w:fldCharType="end"/>
            </w:r>
            <w:r>
              <w:rPr>
                <w:rFonts w:hint="eastAsia" w:ascii="宋体" w:hAnsi="宋体" w:cs="宋体"/>
                <w:sz w:val="24"/>
                <w:szCs w:val="24"/>
                <w:lang w:eastAsia="zh-CN"/>
              </w:rPr>
              <w:t>）</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lang w:val="en-US" w:eastAsia="zh-CN"/>
                <w14:textFill>
                  <w14:solidFill>
                    <w14:schemeClr w14:val="tx1"/>
                  </w14:solidFill>
                </w14:textFill>
              </w:rPr>
              <w:t>济南市</w:t>
            </w:r>
            <w:r>
              <w:rPr>
                <w:rFonts w:hint="eastAsia" w:ascii="宋体" w:hAnsi="宋体" w:cs="宋体"/>
                <w:color w:val="000000" w:themeColor="text1"/>
                <w:szCs w:val="21"/>
                <w14:textFill>
                  <w14:solidFill>
                    <w14:schemeClr w14:val="tx1"/>
                  </w14:solidFill>
                </w14:textFill>
              </w:rPr>
              <w:t>建材交易指导价乘以固定浮动值；</w:t>
            </w:r>
          </w:p>
          <w:p>
            <w:pPr>
              <w:autoSpaceDE w:val="0"/>
              <w:autoSpaceDN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投标报价中必须包含完成本项目所产生的一切费用，招标人不再支付投标报价之外的任何费用。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19</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投标有效期</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投标有效期：</w:t>
            </w:r>
            <w:r>
              <w:rPr>
                <w:rFonts w:hint="eastAsia" w:ascii="宋体" w:hAnsi="宋体" w:cs="宋体"/>
                <w:szCs w:val="21"/>
                <w:u w:val="single"/>
              </w:rPr>
              <w:t>30日历天</w:t>
            </w:r>
            <w:r>
              <w:rPr>
                <w:rFonts w:hint="eastAsia" w:ascii="宋体" w:hAnsi="宋体" w:cs="宋体"/>
                <w:szCs w:val="21"/>
              </w:rPr>
              <w:t>（从投标截止之日算起）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0</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投标保证金</w:t>
            </w:r>
          </w:p>
        </w:tc>
        <w:tc>
          <w:tcPr>
            <w:tcW w:w="6141" w:type="dxa"/>
            <w:noWrap w:val="0"/>
            <w:vAlign w:val="center"/>
          </w:tcPr>
          <w:p>
            <w:pPr>
              <w:autoSpaceDE w:val="0"/>
              <w:autoSpaceDN w:val="0"/>
              <w:spacing w:line="360" w:lineRule="exact"/>
              <w:rPr>
                <w:rFonts w:hint="eastAsia" w:ascii="宋体" w:hAnsi="宋体" w:cs="宋体"/>
                <w:szCs w:val="21"/>
              </w:rPr>
            </w:pPr>
            <w:r>
              <w:rPr>
                <w:rFonts w:hint="eastAsia" w:ascii="宋体" w:hAnsi="宋体" w:cs="宋体"/>
                <w:szCs w:val="21"/>
              </w:rPr>
              <w:t>不收取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1</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备选投标方案</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2</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投标文件密封和份数</w:t>
            </w:r>
          </w:p>
        </w:tc>
        <w:tc>
          <w:tcPr>
            <w:tcW w:w="6141" w:type="dxa"/>
            <w:noWrap w:val="0"/>
            <w:vAlign w:val="center"/>
          </w:tcPr>
          <w:p>
            <w:pPr>
              <w:autoSpaceDE w:val="0"/>
              <w:autoSpaceDN w:val="0"/>
              <w:spacing w:line="360" w:lineRule="exact"/>
              <w:rPr>
                <w:rFonts w:hint="eastAsia" w:ascii="宋体" w:hAnsi="宋体" w:cs="宋体"/>
                <w:szCs w:val="21"/>
              </w:rPr>
            </w:pPr>
            <w:r>
              <w:rPr>
                <w:rFonts w:hint="eastAsia" w:ascii="宋体" w:hAnsi="宋体" w:cs="宋体"/>
                <w:szCs w:val="21"/>
              </w:rPr>
              <w:t>（1）正本一份，副本三份，电子版一份，投标文件电子版拷贝在</w:t>
            </w:r>
            <w:r>
              <w:rPr>
                <w:rFonts w:ascii="宋体" w:hAnsi="宋体" w:cs="宋体"/>
                <w:szCs w:val="21"/>
              </w:rPr>
              <w:t>U</w:t>
            </w:r>
            <w:r>
              <w:rPr>
                <w:rFonts w:hint="eastAsia" w:ascii="宋体" w:hAnsi="宋体" w:cs="宋体"/>
                <w:szCs w:val="21"/>
              </w:rPr>
              <w:t>盘中，内容包括投标文件全部内容，能在</w:t>
            </w:r>
            <w:r>
              <w:rPr>
                <w:rFonts w:ascii="宋体" w:hAnsi="宋体" w:cs="宋体"/>
                <w:szCs w:val="21"/>
              </w:rPr>
              <w:t>office</w:t>
            </w:r>
            <w:r>
              <w:rPr>
                <w:rFonts w:hint="eastAsia" w:ascii="宋体" w:hAnsi="宋体" w:cs="宋体"/>
                <w:szCs w:val="21"/>
              </w:rPr>
              <w:t>办公软件下正常打开。</w:t>
            </w:r>
          </w:p>
          <w:p>
            <w:pPr>
              <w:pStyle w:val="22"/>
              <w:tabs>
                <w:tab w:val="left" w:pos="630"/>
              </w:tabs>
              <w:snapToGrid w:val="0"/>
              <w:spacing w:line="360" w:lineRule="exact"/>
              <w:rPr>
                <w:rFonts w:hAnsi="宋体" w:cs="宋体"/>
                <w:kern w:val="2"/>
                <w:sz w:val="21"/>
                <w:szCs w:val="21"/>
              </w:rPr>
            </w:pPr>
            <w:r>
              <w:rPr>
                <w:rFonts w:hint="eastAsia" w:hAnsi="宋体" w:cs="宋体"/>
                <w:kern w:val="2"/>
                <w:sz w:val="21"/>
                <w:szCs w:val="21"/>
              </w:rPr>
              <w:t>（2）投标文件的“正本”、“副本”应当分别胶装装订，并于封面上明确标明“正本”、“副本”字样。</w:t>
            </w:r>
          </w:p>
          <w:p>
            <w:pPr>
              <w:pStyle w:val="22"/>
              <w:tabs>
                <w:tab w:val="left" w:pos="630"/>
              </w:tabs>
              <w:snapToGrid w:val="0"/>
              <w:spacing w:line="360" w:lineRule="exact"/>
              <w:rPr>
                <w:rFonts w:hAnsi="宋体" w:cs="宋体"/>
                <w:kern w:val="2"/>
                <w:sz w:val="21"/>
                <w:szCs w:val="21"/>
              </w:rPr>
            </w:pPr>
            <w:r>
              <w:rPr>
                <w:rFonts w:hint="eastAsia" w:hAnsi="宋体" w:cs="宋体"/>
                <w:kern w:val="2"/>
                <w:sz w:val="21"/>
                <w:szCs w:val="21"/>
              </w:rPr>
              <w:t>（3）投标文件纸质版“正本”、“副本”一同包封在一个密封包装内，并在封套的封口处加盖“密封”章或“单位公章”。投标文件电子版装入信封袋中，并在封口处加盖“密封”章或“单位公章”，与投标文件纸质版一同递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3</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投标文件的标记要求</w:t>
            </w:r>
          </w:p>
        </w:tc>
        <w:tc>
          <w:tcPr>
            <w:tcW w:w="6141" w:type="dxa"/>
            <w:noWrap w:val="0"/>
            <w:vAlign w:val="center"/>
          </w:tcPr>
          <w:p>
            <w:pPr>
              <w:autoSpaceDE w:val="0"/>
              <w:autoSpaceDN w:val="0"/>
              <w:spacing w:line="360" w:lineRule="exact"/>
              <w:rPr>
                <w:rFonts w:hint="eastAsia" w:ascii="宋体" w:hAnsi="宋体" w:cs="宋体"/>
                <w:szCs w:val="21"/>
              </w:rPr>
            </w:pPr>
            <w:r>
              <w:rPr>
                <w:rFonts w:hint="eastAsia" w:ascii="宋体" w:hAnsi="宋体" w:cs="宋体"/>
                <w:szCs w:val="21"/>
              </w:rPr>
              <w:t>投标文件外封套要求：</w:t>
            </w:r>
          </w:p>
          <w:p>
            <w:pPr>
              <w:autoSpaceDE w:val="0"/>
              <w:autoSpaceDN w:val="0"/>
              <w:spacing w:line="360" w:lineRule="exact"/>
              <w:rPr>
                <w:rFonts w:hint="eastAsia" w:ascii="宋体" w:hAnsi="宋体" w:cs="宋体"/>
                <w:szCs w:val="21"/>
              </w:rPr>
            </w:pPr>
            <w:r>
              <w:rPr>
                <w:rFonts w:hint="eastAsia" w:ascii="宋体" w:hAnsi="宋体" w:cs="宋体"/>
                <w:szCs w:val="21"/>
              </w:rPr>
              <w:t>招标人地址：江苏省</w:t>
            </w:r>
            <w:r>
              <w:rPr>
                <w:rFonts w:hint="eastAsia" w:ascii="宋体" w:hAnsi="宋体" w:cs="宋体"/>
                <w:szCs w:val="21"/>
                <w:lang w:val="en-US" w:eastAsia="zh-CN"/>
              </w:rPr>
              <w:t>南京</w:t>
            </w:r>
            <w:r>
              <w:rPr>
                <w:rFonts w:hint="eastAsia" w:ascii="宋体" w:hAnsi="宋体" w:cs="宋体"/>
                <w:szCs w:val="21"/>
              </w:rPr>
              <w:t>市鼓楼区江东北路301号1栋24楼</w:t>
            </w:r>
          </w:p>
          <w:p>
            <w:pPr>
              <w:autoSpaceDE w:val="0"/>
              <w:autoSpaceDN w:val="0"/>
              <w:spacing w:line="360" w:lineRule="exact"/>
              <w:rPr>
                <w:rFonts w:hint="eastAsia" w:ascii="宋体" w:hAnsi="宋体" w:cs="宋体"/>
                <w:szCs w:val="21"/>
              </w:rPr>
            </w:pPr>
            <w:r>
              <w:rPr>
                <w:rFonts w:hint="eastAsia" w:ascii="宋体" w:hAnsi="宋体" w:cs="宋体"/>
                <w:szCs w:val="21"/>
              </w:rPr>
              <w:t xml:space="preserve">招标人名称：中国地质工程集团有限公司                                </w:t>
            </w:r>
          </w:p>
          <w:p>
            <w:pPr>
              <w:autoSpaceDE w:val="0"/>
              <w:autoSpaceDN w:val="0"/>
              <w:spacing w:line="360" w:lineRule="exact"/>
              <w:rPr>
                <w:rFonts w:hint="eastAsia" w:ascii="宋体" w:hAnsi="宋体" w:cs="宋体"/>
                <w:szCs w:val="21"/>
              </w:rPr>
            </w:pPr>
            <w:r>
              <w:rPr>
                <w:rFonts w:hint="eastAsia" w:ascii="宋体" w:hAnsi="宋体" w:cs="宋体"/>
                <w:szCs w:val="21"/>
              </w:rPr>
              <w:t>招标项目名称：</w:t>
            </w:r>
            <w:r>
              <w:rPr>
                <w:rFonts w:hint="eastAsia" w:ascii="宋体" w:hAnsi="宋体" w:cs="宋体"/>
                <w:bCs/>
                <w:szCs w:val="21"/>
              </w:rPr>
              <w:t>S103济枣线山亭区凫城至市中区曾店段改建工程钢材采购</w:t>
            </w:r>
            <w:r>
              <w:rPr>
                <w:rFonts w:hint="eastAsia" w:ascii="宋体" w:hAnsi="宋体" w:cs="宋体"/>
                <w:szCs w:val="21"/>
              </w:rPr>
              <w:t xml:space="preserve">                               </w:t>
            </w:r>
          </w:p>
          <w:p>
            <w:pPr>
              <w:autoSpaceDE w:val="0"/>
              <w:autoSpaceDN w:val="0"/>
              <w:spacing w:line="360" w:lineRule="exact"/>
              <w:rPr>
                <w:rFonts w:ascii="宋体" w:hAnsi="宋体" w:cs="宋体"/>
                <w:szCs w:val="21"/>
              </w:rPr>
            </w:pPr>
            <w:r>
              <w:rPr>
                <w:rFonts w:hint="eastAsia" w:ascii="宋体" w:hAnsi="宋体" w:cs="宋体"/>
                <w:szCs w:val="21"/>
              </w:rPr>
              <w:t xml:space="preserve">      年    月    日   时   分开标，此时间以前不得开封</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4</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szCs w:val="21"/>
              </w:rPr>
              <w:t>投标文件递交截止时间和地点</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投标文件递交截止时间：以在中国地质工程集团有限公司网站公告之日起第七天的09时30分（北京时间，周末及法定节假日除外）</w:t>
            </w:r>
          </w:p>
          <w:p>
            <w:pPr>
              <w:autoSpaceDE w:val="0"/>
              <w:autoSpaceDN w:val="0"/>
              <w:spacing w:line="360" w:lineRule="exact"/>
              <w:rPr>
                <w:rFonts w:hint="eastAsia" w:ascii="宋体" w:hAnsi="宋体" w:cs="宋体"/>
                <w:szCs w:val="21"/>
              </w:rPr>
            </w:pPr>
            <w:r>
              <w:rPr>
                <w:rFonts w:hint="eastAsia" w:ascii="宋体" w:hAnsi="宋体" w:cs="宋体"/>
                <w:szCs w:val="21"/>
              </w:rPr>
              <w:t>投标文件递交地点：江苏省</w:t>
            </w:r>
            <w:r>
              <w:rPr>
                <w:rFonts w:hint="eastAsia" w:ascii="宋体" w:hAnsi="宋体" w:cs="宋体"/>
                <w:szCs w:val="21"/>
                <w:lang w:val="en-US" w:eastAsia="zh-CN"/>
              </w:rPr>
              <w:t>南京</w:t>
            </w:r>
            <w:r>
              <w:rPr>
                <w:rFonts w:hint="eastAsia" w:ascii="宋体" w:hAnsi="宋体" w:cs="宋体"/>
                <w:szCs w:val="21"/>
              </w:rPr>
              <w:t xml:space="preserve">市鼓楼区江东北路301号1栋24楼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5</w:t>
            </w:r>
          </w:p>
        </w:tc>
        <w:tc>
          <w:tcPr>
            <w:tcW w:w="1666" w:type="dxa"/>
            <w:noWrap w:val="0"/>
            <w:vAlign w:val="center"/>
          </w:tcPr>
          <w:p>
            <w:pPr>
              <w:autoSpaceDE w:val="0"/>
              <w:autoSpaceDN w:val="0"/>
              <w:spacing w:line="360" w:lineRule="exact"/>
              <w:jc w:val="center"/>
              <w:rPr>
                <w:rFonts w:ascii="宋体" w:hAnsi="宋体"/>
                <w:szCs w:val="21"/>
              </w:rPr>
            </w:pPr>
            <w:r>
              <w:rPr>
                <w:rFonts w:hint="eastAsia" w:ascii="宋体" w:hAnsi="宋体"/>
                <w:szCs w:val="21"/>
              </w:rPr>
              <w:t>投标文件退还</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不退还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6</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开标时间和地点</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同投标文件递交截止时间和地点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94"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7</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评标委员会组成人数</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u w:val="single"/>
              </w:rPr>
              <w:t>5</w:t>
            </w:r>
            <w:r>
              <w:rPr>
                <w:rFonts w:hint="eastAsia" w:ascii="宋体" w:hAnsi="宋体" w:cs="宋体"/>
                <w:szCs w:val="21"/>
              </w:rPr>
              <w:t>人，</w:t>
            </w:r>
            <w:r>
              <w:rPr>
                <w:rFonts w:hint="eastAsia" w:ascii="宋体" w:hAnsi="宋体"/>
                <w:szCs w:val="21"/>
              </w:rPr>
              <w:t>其中项目负责人</w:t>
            </w:r>
            <w:r>
              <w:rPr>
                <w:rFonts w:hint="eastAsia" w:ascii="宋体" w:hAnsi="宋体"/>
                <w:szCs w:val="21"/>
                <w:u w:val="single"/>
              </w:rPr>
              <w:t xml:space="preserve"> 1 </w:t>
            </w:r>
            <w:r>
              <w:rPr>
                <w:rFonts w:hint="eastAsia" w:ascii="宋体" w:hAnsi="宋体"/>
                <w:szCs w:val="21"/>
              </w:rPr>
              <w:t>人，其余</w:t>
            </w:r>
            <w:r>
              <w:rPr>
                <w:rFonts w:hint="eastAsia" w:ascii="宋体" w:hAnsi="宋体"/>
                <w:szCs w:val="21"/>
                <w:u w:val="single"/>
              </w:rPr>
              <w:t xml:space="preserve"> 4</w:t>
            </w:r>
            <w:r>
              <w:rPr>
                <w:rFonts w:ascii="宋体" w:hAnsi="宋体"/>
                <w:szCs w:val="21"/>
                <w:u w:val="single"/>
              </w:rPr>
              <w:t xml:space="preserve"> </w:t>
            </w:r>
            <w:r>
              <w:rPr>
                <w:rFonts w:hint="eastAsia" w:ascii="宋体" w:hAnsi="宋体"/>
                <w:szCs w:val="21"/>
              </w:rPr>
              <w:t>人从公司评标专家库中随机抽取产生。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8</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评标方法</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综合评标法，详见招标文件第三章</w:t>
            </w:r>
            <w:r>
              <w:rPr>
                <w:rFonts w:ascii="宋体" w:hAnsi="宋体" w:cs="宋体"/>
                <w:szCs w:val="21"/>
              </w:rPr>
              <w:t xml:space="preserve">  </w:t>
            </w:r>
            <w:r>
              <w:rPr>
                <w:rFonts w:hint="eastAsia" w:ascii="宋体" w:hAnsi="宋体" w:cs="宋体"/>
                <w:szCs w:val="21"/>
              </w:rPr>
              <w:t>评标办法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29</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中标候选人推荐原则</w:t>
            </w:r>
          </w:p>
        </w:tc>
        <w:tc>
          <w:tcPr>
            <w:tcW w:w="6141" w:type="dxa"/>
            <w:noWrap w:val="0"/>
            <w:vAlign w:val="center"/>
          </w:tcPr>
          <w:p>
            <w:pPr>
              <w:autoSpaceDE w:val="0"/>
              <w:autoSpaceDN w:val="0"/>
              <w:spacing w:line="360" w:lineRule="exact"/>
              <w:jc w:val="left"/>
              <w:rPr>
                <w:rFonts w:ascii="宋体" w:hAnsi="宋体" w:cs="宋体"/>
                <w:szCs w:val="21"/>
              </w:rPr>
            </w:pPr>
            <w:r>
              <w:rPr>
                <w:rFonts w:hint="eastAsia" w:ascii="宋体" w:hAnsi="宋体" w:cs="宋体"/>
                <w:szCs w:val="21"/>
              </w:rPr>
              <w:t>中标候选人按评标得分由高到低顺序排列，得分相同的，按投标报价得分高者优先，推荐三名中标候选人。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3</w:t>
            </w:r>
            <w:r>
              <w:rPr>
                <w:rFonts w:hint="eastAsia" w:ascii="宋体" w:hAnsi="宋体" w:cs="宋体"/>
                <w:szCs w:val="21"/>
              </w:rPr>
              <w:t>0</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中标人确定</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szCs w:val="21"/>
              </w:rPr>
              <w:t>评标委员会推荐中标候选人</w:t>
            </w:r>
            <w:r>
              <w:rPr>
                <w:rFonts w:hint="eastAsia" w:ascii="宋体" w:hAnsi="宋体"/>
                <w:szCs w:val="21"/>
                <w:u w:val="single"/>
              </w:rPr>
              <w:t>3</w:t>
            </w:r>
            <w:r>
              <w:rPr>
                <w:rFonts w:hint="eastAsia" w:ascii="宋体" w:hAnsi="宋体"/>
                <w:szCs w:val="21"/>
              </w:rPr>
              <w:t>人</w:t>
            </w:r>
            <w:r>
              <w:rPr>
                <w:rFonts w:hint="eastAsia" w:ascii="宋体" w:hAnsi="宋体" w:cs="宋体"/>
                <w:szCs w:val="21"/>
              </w:rPr>
              <w:t>，</w:t>
            </w:r>
            <w:r>
              <w:rPr>
                <w:rFonts w:hint="eastAsia" w:ascii="宋体" w:hAnsi="宋体"/>
                <w:szCs w:val="21"/>
              </w:rPr>
              <w:t>中标人确定</w:t>
            </w:r>
            <w:r>
              <w:rPr>
                <w:rFonts w:hint="eastAsia" w:ascii="宋体" w:hAnsi="宋体" w:cs="宋体"/>
                <w:szCs w:val="21"/>
                <w:u w:val="single"/>
              </w:rPr>
              <w:t>1</w:t>
            </w:r>
            <w:r>
              <w:rPr>
                <w:rFonts w:hint="eastAsia" w:ascii="宋体" w:hAnsi="宋体" w:cs="宋体"/>
                <w:szCs w:val="21"/>
              </w:rPr>
              <w:t>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3</w:t>
            </w:r>
            <w:r>
              <w:rPr>
                <w:rFonts w:hint="eastAsia" w:ascii="宋体" w:hAnsi="宋体" w:cs="宋体"/>
                <w:szCs w:val="21"/>
              </w:rPr>
              <w:t>1</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履约保证金金额和形式</w:t>
            </w:r>
          </w:p>
        </w:tc>
        <w:tc>
          <w:tcPr>
            <w:tcW w:w="6141" w:type="dxa"/>
            <w:noWrap w:val="0"/>
            <w:vAlign w:val="center"/>
          </w:tcPr>
          <w:p>
            <w:pPr>
              <w:autoSpaceDE w:val="0"/>
              <w:autoSpaceDN w:val="0"/>
              <w:spacing w:line="360" w:lineRule="exact"/>
              <w:jc w:val="left"/>
              <w:rPr>
                <w:rFonts w:ascii="宋体" w:hAnsi="宋体" w:cs="宋体"/>
                <w:szCs w:val="21"/>
              </w:rPr>
            </w:pPr>
            <w:r>
              <w:rPr>
                <w:rFonts w:hint="eastAsia" w:ascii="宋体" w:hAnsi="宋体" w:cs="宋体"/>
                <w:szCs w:val="21"/>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44" w:hRule="atLeast"/>
        </w:trPr>
        <w:tc>
          <w:tcPr>
            <w:tcW w:w="840" w:type="dxa"/>
            <w:tcBorders>
              <w:bottom w:val="single" w:color="auto" w:sz="8" w:space="0"/>
            </w:tcBorders>
            <w:noWrap w:val="0"/>
            <w:vAlign w:val="center"/>
          </w:tcPr>
          <w:p>
            <w:pPr>
              <w:autoSpaceDE w:val="0"/>
              <w:autoSpaceDN w:val="0"/>
              <w:spacing w:line="360" w:lineRule="exact"/>
              <w:jc w:val="center"/>
              <w:rPr>
                <w:rFonts w:hint="eastAsia" w:ascii="宋体" w:hAnsi="宋体" w:cs="宋体"/>
                <w:szCs w:val="21"/>
              </w:rPr>
            </w:pPr>
            <w:r>
              <w:rPr>
                <w:rFonts w:hint="eastAsia" w:ascii="宋体" w:hAnsi="宋体" w:cs="宋体"/>
                <w:szCs w:val="21"/>
              </w:rPr>
              <w:t>32</w:t>
            </w:r>
          </w:p>
        </w:tc>
        <w:tc>
          <w:tcPr>
            <w:tcW w:w="1666" w:type="dxa"/>
            <w:tcBorders>
              <w:bottom w:val="single" w:color="auto" w:sz="8" w:space="0"/>
            </w:tcBorders>
            <w:noWrap w:val="0"/>
            <w:vAlign w:val="center"/>
          </w:tcPr>
          <w:p>
            <w:pPr>
              <w:autoSpaceDE w:val="0"/>
              <w:autoSpaceDN w:val="0"/>
              <w:spacing w:line="360" w:lineRule="exact"/>
              <w:jc w:val="center"/>
              <w:rPr>
                <w:rFonts w:hint="eastAsia" w:ascii="宋体" w:hAnsi="宋体" w:cs="宋体"/>
                <w:szCs w:val="21"/>
              </w:rPr>
            </w:pPr>
            <w:r>
              <w:rPr>
                <w:rFonts w:hint="eastAsia" w:ascii="宋体" w:hAnsi="宋体" w:cs="宋体"/>
                <w:szCs w:val="21"/>
              </w:rPr>
              <w:t>其他</w:t>
            </w:r>
          </w:p>
        </w:tc>
        <w:tc>
          <w:tcPr>
            <w:tcW w:w="6141" w:type="dxa"/>
            <w:tcBorders>
              <w:bottom w:val="single" w:color="auto" w:sz="8" w:space="0"/>
            </w:tcBorders>
            <w:noWrap w:val="0"/>
            <w:vAlign w:val="center"/>
          </w:tcPr>
          <w:p>
            <w:pPr>
              <w:autoSpaceDE w:val="0"/>
              <w:autoSpaceDN w:val="0"/>
              <w:spacing w:line="360" w:lineRule="exact"/>
              <w:jc w:val="left"/>
              <w:rPr>
                <w:rFonts w:hint="eastAsia" w:ascii="宋体" w:hAnsi="宋体" w:cs="宋体"/>
                <w:szCs w:val="21"/>
              </w:rPr>
            </w:pPr>
            <w:r>
              <w:rPr>
                <w:rFonts w:hint="eastAsia" w:ascii="宋体" w:hAnsi="宋体" w:cs="宋体"/>
                <w:szCs w:val="21"/>
              </w:rPr>
              <w:t>无</w:t>
            </w:r>
          </w:p>
        </w:tc>
      </w:tr>
    </w:tbl>
    <w:p>
      <w:pPr>
        <w:pStyle w:val="4"/>
        <w:snapToGrid w:val="0"/>
        <w:spacing w:before="240" w:after="120" w:line="240" w:lineRule="auto"/>
        <w:jc w:val="center"/>
        <w:rPr>
          <w:rFonts w:ascii="宋体" w:hAnsi="宋体" w:eastAsia="宋体" w:cs="宋体"/>
          <w:bCs w:val="0"/>
          <w:sz w:val="24"/>
          <w:szCs w:val="24"/>
        </w:rPr>
      </w:pPr>
      <w:bookmarkStart w:id="38" w:name="_Toc10210413"/>
      <w:bookmarkStart w:id="39" w:name="_Toc15360"/>
      <w:bookmarkStart w:id="40" w:name="_Toc16175984"/>
      <w:bookmarkStart w:id="41" w:name="_Toc447265502"/>
      <w:bookmarkStart w:id="42" w:name="_Toc447188667"/>
      <w:bookmarkStart w:id="43" w:name="_Toc447265216"/>
      <w:bookmarkStart w:id="44" w:name="_Toc8657468"/>
      <w:bookmarkStart w:id="45" w:name="_Toc227057885"/>
      <w:bookmarkStart w:id="46" w:name="_Toc226969278"/>
      <w:bookmarkStart w:id="47" w:name="_Toc107822484"/>
      <w:bookmarkStart w:id="48" w:name="_Toc488655831"/>
      <w:r>
        <w:rPr>
          <w:rFonts w:hint="eastAsia" w:ascii="宋体" w:hAnsi="宋体" w:eastAsia="宋体" w:cs="宋体"/>
          <w:bCs w:val="0"/>
          <w:sz w:val="24"/>
          <w:szCs w:val="24"/>
        </w:rPr>
        <w:t>投标人须知</w:t>
      </w:r>
      <w:bookmarkEnd w:id="38"/>
      <w:bookmarkEnd w:id="39"/>
      <w:bookmarkEnd w:id="40"/>
    </w:p>
    <w:p>
      <w:pPr>
        <w:spacing w:line="360" w:lineRule="auto"/>
        <w:outlineLvl w:val="1"/>
        <w:rPr>
          <w:rFonts w:ascii="宋体"/>
          <w:b/>
        </w:rPr>
      </w:pPr>
      <w:bookmarkStart w:id="49" w:name="_Toc22941"/>
      <w:bookmarkStart w:id="50" w:name="_Toc10210414"/>
      <w:r>
        <w:rPr>
          <w:rFonts w:ascii="宋体" w:hAnsi="宋体"/>
          <w:b/>
        </w:rPr>
        <w:t>1.</w:t>
      </w:r>
      <w:r>
        <w:rPr>
          <w:rFonts w:hint="eastAsia" w:ascii="宋体" w:hAnsi="宋体"/>
          <w:b/>
        </w:rPr>
        <w:t>总则</w:t>
      </w:r>
      <w:bookmarkEnd w:id="41"/>
      <w:bookmarkEnd w:id="42"/>
      <w:bookmarkEnd w:id="43"/>
      <w:bookmarkEnd w:id="44"/>
      <w:bookmarkEnd w:id="49"/>
      <w:bookmarkEnd w:id="50"/>
    </w:p>
    <w:p>
      <w:pPr>
        <w:spacing w:line="360" w:lineRule="auto"/>
        <w:outlineLvl w:val="2"/>
        <w:rPr>
          <w:rFonts w:ascii="宋体"/>
          <w:b/>
        </w:rPr>
      </w:pPr>
      <w:bookmarkStart w:id="51" w:name="_Toc12775"/>
      <w:bookmarkStart w:id="52" w:name="_Toc246996176"/>
      <w:bookmarkStart w:id="53" w:name="_Toc247085690"/>
      <w:bookmarkStart w:id="54" w:name="_Toc179632547"/>
      <w:bookmarkStart w:id="55" w:name="_Toc10210415"/>
      <w:bookmarkStart w:id="56" w:name="_Toc8657469"/>
      <w:bookmarkStart w:id="57" w:name="_Toc152042306"/>
      <w:bookmarkStart w:id="58" w:name="_Toc447265503"/>
      <w:bookmarkStart w:id="59" w:name="_Toc246996919"/>
      <w:bookmarkStart w:id="60" w:name="_Toc296602421"/>
      <w:bookmarkStart w:id="61" w:name="_Toc447188668"/>
      <w:bookmarkStart w:id="62" w:name="_Toc152045530"/>
      <w:bookmarkStart w:id="63" w:name="_Toc144974498"/>
      <w:bookmarkStart w:id="64" w:name="_Toc447265217"/>
      <w:r>
        <w:rPr>
          <w:rFonts w:ascii="宋体" w:hAnsi="宋体"/>
          <w:b/>
        </w:rPr>
        <w:t>1.1</w:t>
      </w:r>
      <w:r>
        <w:rPr>
          <w:rFonts w:hint="eastAsia" w:ascii="宋体" w:hAnsi="宋体"/>
          <w:b/>
        </w:rPr>
        <w:t>项目概况</w:t>
      </w:r>
      <w:bookmarkEnd w:id="45"/>
      <w:bookmarkEnd w:id="46"/>
      <w:bookmarkEnd w:id="51"/>
      <w:bookmarkEnd w:id="52"/>
      <w:bookmarkEnd w:id="53"/>
      <w:bookmarkEnd w:id="54"/>
      <w:bookmarkEnd w:id="55"/>
      <w:bookmarkEnd w:id="56"/>
      <w:bookmarkEnd w:id="57"/>
      <w:bookmarkEnd w:id="58"/>
      <w:bookmarkEnd w:id="59"/>
      <w:bookmarkEnd w:id="60"/>
      <w:bookmarkEnd w:id="61"/>
      <w:bookmarkEnd w:id="62"/>
      <w:bookmarkEnd w:id="63"/>
      <w:bookmarkEnd w:id="64"/>
    </w:p>
    <w:p>
      <w:pPr>
        <w:pStyle w:val="22"/>
        <w:tabs>
          <w:tab w:val="left" w:pos="630"/>
        </w:tabs>
        <w:snapToGrid w:val="0"/>
        <w:spacing w:line="360" w:lineRule="auto"/>
        <w:ind w:firstLine="400" w:firstLineChars="200"/>
        <w:rPr>
          <w:rFonts w:hAnsi="宋体"/>
          <w:szCs w:val="21"/>
        </w:rPr>
      </w:pPr>
      <w:r>
        <w:rPr>
          <w:rFonts w:hAnsi="宋体"/>
          <w:szCs w:val="21"/>
        </w:rPr>
        <w:t>1.1.1</w:t>
      </w:r>
      <w:r>
        <w:rPr>
          <w:rFonts w:hint="eastAsia" w:hAnsi="宋体"/>
          <w:szCs w:val="21"/>
        </w:rPr>
        <w:t>根据《中华人民共和国招标投标法》（以下简称《招标投标法》）、《中国人民共和国招标投标法实施条例》（以下简称《实施条例》）等有关法律、法规和规章的规定，本招标项目已具备招标条件，现对本项目进行公开招标。</w:t>
      </w:r>
    </w:p>
    <w:p>
      <w:pPr>
        <w:pStyle w:val="22"/>
        <w:tabs>
          <w:tab w:val="left" w:pos="630"/>
        </w:tabs>
        <w:snapToGrid w:val="0"/>
        <w:spacing w:line="360" w:lineRule="auto"/>
        <w:ind w:firstLine="400" w:firstLineChars="200"/>
        <w:rPr>
          <w:rFonts w:hAnsi="宋体"/>
          <w:szCs w:val="21"/>
        </w:rPr>
      </w:pPr>
      <w:r>
        <w:rPr>
          <w:rFonts w:hAnsi="宋体"/>
          <w:szCs w:val="21"/>
        </w:rPr>
        <w:t>1.1.2</w:t>
      </w:r>
      <w:r>
        <w:rPr>
          <w:rFonts w:hint="eastAsia" w:hAnsi="宋体"/>
          <w:szCs w:val="21"/>
        </w:rPr>
        <w:t>招标人：招标人单位名称及联系方式见投标人须知前附表。</w:t>
      </w:r>
    </w:p>
    <w:p>
      <w:pPr>
        <w:pStyle w:val="22"/>
        <w:tabs>
          <w:tab w:val="left" w:pos="630"/>
        </w:tabs>
        <w:snapToGrid w:val="0"/>
        <w:spacing w:line="360" w:lineRule="auto"/>
        <w:ind w:firstLine="400" w:firstLineChars="200"/>
        <w:rPr>
          <w:rFonts w:hAnsi="宋体"/>
          <w:szCs w:val="21"/>
        </w:rPr>
      </w:pPr>
      <w:r>
        <w:rPr>
          <w:rFonts w:hAnsi="宋体"/>
          <w:szCs w:val="21"/>
        </w:rPr>
        <w:t>1.1.3</w:t>
      </w:r>
      <w:r>
        <w:rPr>
          <w:rFonts w:hint="eastAsia" w:hAnsi="宋体"/>
          <w:szCs w:val="21"/>
        </w:rPr>
        <w:t>项目名称：项目名称见投标人须知前附表。</w:t>
      </w:r>
    </w:p>
    <w:p>
      <w:pPr>
        <w:spacing w:line="360" w:lineRule="auto"/>
        <w:outlineLvl w:val="2"/>
        <w:rPr>
          <w:rFonts w:ascii="宋体"/>
          <w:b/>
        </w:rPr>
      </w:pPr>
      <w:bookmarkStart w:id="65" w:name="_Toc227057886"/>
      <w:bookmarkStart w:id="66" w:name="_Toc447188669"/>
      <w:bookmarkStart w:id="67" w:name="_Toc226969279"/>
      <w:bookmarkStart w:id="68" w:name="_Toc7573"/>
      <w:bookmarkStart w:id="69" w:name="_Toc447265218"/>
      <w:bookmarkStart w:id="70" w:name="_Toc447265504"/>
      <w:bookmarkStart w:id="71" w:name="_Toc8657470"/>
      <w:bookmarkStart w:id="72" w:name="_Toc10210416"/>
      <w:r>
        <w:rPr>
          <w:rFonts w:ascii="宋体" w:hAnsi="宋体"/>
          <w:b/>
        </w:rPr>
        <w:t>1.2</w:t>
      </w:r>
      <w:r>
        <w:rPr>
          <w:rFonts w:hint="eastAsia" w:ascii="宋体" w:hAnsi="宋体"/>
          <w:b/>
        </w:rPr>
        <w:t>资金来源</w:t>
      </w:r>
      <w:bookmarkEnd w:id="65"/>
      <w:bookmarkEnd w:id="66"/>
      <w:bookmarkEnd w:id="67"/>
      <w:r>
        <w:rPr>
          <w:rFonts w:hint="eastAsia" w:ascii="宋体" w:hAnsi="宋体"/>
          <w:b/>
        </w:rPr>
        <w:t>和落实情况</w:t>
      </w:r>
      <w:bookmarkEnd w:id="68"/>
      <w:bookmarkEnd w:id="69"/>
      <w:bookmarkEnd w:id="70"/>
      <w:bookmarkEnd w:id="71"/>
      <w:bookmarkEnd w:id="72"/>
    </w:p>
    <w:p>
      <w:pPr>
        <w:pStyle w:val="22"/>
        <w:tabs>
          <w:tab w:val="left" w:pos="630"/>
        </w:tabs>
        <w:snapToGrid w:val="0"/>
        <w:spacing w:line="360" w:lineRule="auto"/>
        <w:ind w:firstLine="400" w:firstLineChars="200"/>
        <w:rPr>
          <w:rFonts w:hAnsi="宋体"/>
          <w:szCs w:val="21"/>
        </w:rPr>
      </w:pPr>
      <w:r>
        <w:rPr>
          <w:rFonts w:hint="eastAsia" w:hAnsi="宋体"/>
          <w:szCs w:val="21"/>
        </w:rPr>
        <w:t>本项目资金已落实，资金来源见投标人须知前附表。</w:t>
      </w:r>
    </w:p>
    <w:p>
      <w:pPr>
        <w:spacing w:line="360" w:lineRule="auto"/>
        <w:outlineLvl w:val="2"/>
        <w:rPr>
          <w:rFonts w:ascii="宋体"/>
          <w:b/>
        </w:rPr>
      </w:pPr>
      <w:bookmarkStart w:id="73" w:name="_Toc8657471"/>
      <w:bookmarkStart w:id="74" w:name="_Toc447265219"/>
      <w:bookmarkStart w:id="75" w:name="_Toc10210417"/>
      <w:bookmarkStart w:id="76" w:name="_Toc447265505"/>
      <w:bookmarkStart w:id="77" w:name="_Toc447188670"/>
      <w:bookmarkStart w:id="78" w:name="_Toc9495"/>
      <w:r>
        <w:rPr>
          <w:rFonts w:ascii="宋体" w:hAnsi="宋体"/>
          <w:b/>
        </w:rPr>
        <w:t>1.3</w:t>
      </w:r>
      <w:r>
        <w:rPr>
          <w:rFonts w:hint="eastAsia" w:ascii="宋体" w:hAnsi="宋体"/>
          <w:b/>
        </w:rPr>
        <w:t>招标</w:t>
      </w:r>
      <w:bookmarkEnd w:id="73"/>
      <w:bookmarkEnd w:id="74"/>
      <w:bookmarkEnd w:id="75"/>
      <w:bookmarkEnd w:id="76"/>
      <w:bookmarkEnd w:id="77"/>
      <w:r>
        <w:rPr>
          <w:rFonts w:hint="eastAsia" w:ascii="宋体" w:hAnsi="宋体"/>
          <w:b/>
        </w:rPr>
        <w:t>内容与服务期限</w:t>
      </w:r>
      <w:bookmarkEnd w:id="78"/>
    </w:p>
    <w:p>
      <w:pPr>
        <w:pStyle w:val="22"/>
        <w:tabs>
          <w:tab w:val="left" w:pos="630"/>
        </w:tabs>
        <w:snapToGrid w:val="0"/>
        <w:spacing w:line="360" w:lineRule="auto"/>
        <w:ind w:firstLine="400" w:firstLineChars="200"/>
        <w:rPr>
          <w:rFonts w:hAnsi="宋体"/>
          <w:szCs w:val="21"/>
        </w:rPr>
      </w:pPr>
      <w:r>
        <w:rPr>
          <w:rFonts w:hAnsi="宋体"/>
          <w:szCs w:val="21"/>
        </w:rPr>
        <w:t>1.3.1</w:t>
      </w:r>
      <w:r>
        <w:rPr>
          <w:rFonts w:hint="eastAsia" w:hAnsi="宋体"/>
          <w:szCs w:val="21"/>
        </w:rPr>
        <w:t>本项目招标内容：见投标人须知前附表。</w:t>
      </w:r>
    </w:p>
    <w:p>
      <w:pPr>
        <w:pStyle w:val="22"/>
        <w:tabs>
          <w:tab w:val="left" w:pos="630"/>
        </w:tabs>
        <w:snapToGrid w:val="0"/>
        <w:spacing w:line="360" w:lineRule="auto"/>
        <w:ind w:firstLine="400" w:firstLineChars="200"/>
        <w:rPr>
          <w:rFonts w:hAnsi="宋体"/>
          <w:szCs w:val="21"/>
        </w:rPr>
      </w:pPr>
      <w:r>
        <w:rPr>
          <w:rFonts w:hAnsi="宋体"/>
          <w:szCs w:val="21"/>
        </w:rPr>
        <w:t>1.3.2</w:t>
      </w:r>
      <w:r>
        <w:rPr>
          <w:rFonts w:hint="eastAsia" w:hAnsi="宋体"/>
          <w:szCs w:val="21"/>
        </w:rPr>
        <w:t>本项目服务期限：见投标人须知前附表。</w:t>
      </w:r>
    </w:p>
    <w:p>
      <w:pPr>
        <w:spacing w:line="360" w:lineRule="auto"/>
        <w:outlineLvl w:val="2"/>
        <w:rPr>
          <w:rFonts w:ascii="宋体"/>
          <w:b/>
        </w:rPr>
      </w:pPr>
      <w:bookmarkStart w:id="79" w:name="_Toc30303"/>
      <w:bookmarkStart w:id="80" w:name="_Toc8657472"/>
      <w:bookmarkStart w:id="81" w:name="_Toc10210418"/>
      <w:r>
        <w:rPr>
          <w:rFonts w:ascii="宋体" w:hAnsi="宋体"/>
          <w:b/>
        </w:rPr>
        <w:t>1.4</w:t>
      </w:r>
      <w:r>
        <w:rPr>
          <w:rFonts w:hint="eastAsia" w:ascii="宋体" w:hAnsi="宋体"/>
          <w:b/>
        </w:rPr>
        <w:t>标包划分</w:t>
      </w:r>
      <w:bookmarkEnd w:id="79"/>
      <w:bookmarkEnd w:id="80"/>
      <w:bookmarkEnd w:id="81"/>
    </w:p>
    <w:p>
      <w:pPr>
        <w:pStyle w:val="22"/>
        <w:tabs>
          <w:tab w:val="left" w:pos="630"/>
        </w:tabs>
        <w:snapToGrid w:val="0"/>
        <w:spacing w:line="360" w:lineRule="auto"/>
        <w:ind w:firstLine="400" w:firstLineChars="200"/>
        <w:rPr>
          <w:rFonts w:hAnsi="宋体"/>
          <w:szCs w:val="21"/>
        </w:rPr>
      </w:pPr>
      <w:r>
        <w:rPr>
          <w:rFonts w:hint="eastAsia" w:hAnsi="宋体"/>
          <w:szCs w:val="21"/>
        </w:rPr>
        <w:t>本项目标包划分情况见投标人须知前附表。</w:t>
      </w:r>
    </w:p>
    <w:bookmarkEnd w:id="47"/>
    <w:p>
      <w:pPr>
        <w:spacing w:line="360" w:lineRule="auto"/>
        <w:outlineLvl w:val="2"/>
        <w:rPr>
          <w:rFonts w:ascii="宋体"/>
          <w:b/>
        </w:rPr>
      </w:pPr>
      <w:bookmarkStart w:id="82" w:name="_Toc13517"/>
      <w:bookmarkStart w:id="83" w:name="_Toc227057888"/>
      <w:bookmarkStart w:id="84" w:name="_Toc447188672"/>
      <w:bookmarkStart w:id="85" w:name="_Toc226969281"/>
      <w:bookmarkStart w:id="86" w:name="_Toc447265221"/>
      <w:bookmarkStart w:id="87" w:name="_Toc8657473"/>
      <w:bookmarkStart w:id="88" w:name="_Toc107822486"/>
      <w:bookmarkStart w:id="89" w:name="_Toc447265507"/>
      <w:bookmarkStart w:id="90" w:name="_Toc10210419"/>
      <w:r>
        <w:rPr>
          <w:rFonts w:ascii="宋体" w:hAnsi="宋体"/>
          <w:b/>
        </w:rPr>
        <w:t>1.5</w:t>
      </w:r>
      <w:r>
        <w:rPr>
          <w:rFonts w:hint="eastAsia" w:ascii="宋体" w:hAnsi="宋体"/>
          <w:b/>
        </w:rPr>
        <w:t>招标方式</w:t>
      </w:r>
      <w:bookmarkEnd w:id="82"/>
      <w:bookmarkEnd w:id="83"/>
      <w:bookmarkEnd w:id="84"/>
      <w:bookmarkEnd w:id="85"/>
      <w:bookmarkEnd w:id="86"/>
      <w:bookmarkEnd w:id="87"/>
      <w:bookmarkEnd w:id="88"/>
      <w:bookmarkEnd w:id="89"/>
      <w:bookmarkEnd w:id="90"/>
    </w:p>
    <w:p>
      <w:pPr>
        <w:pStyle w:val="22"/>
        <w:tabs>
          <w:tab w:val="left" w:pos="630"/>
        </w:tabs>
        <w:snapToGrid w:val="0"/>
        <w:spacing w:line="360" w:lineRule="auto"/>
        <w:ind w:firstLine="400" w:firstLineChars="200"/>
        <w:rPr>
          <w:rFonts w:hAnsi="宋体"/>
          <w:szCs w:val="21"/>
        </w:rPr>
      </w:pPr>
      <w:r>
        <w:rPr>
          <w:rFonts w:hAnsi="宋体"/>
          <w:szCs w:val="21"/>
        </w:rPr>
        <w:t>1.5.1</w:t>
      </w:r>
      <w:r>
        <w:rPr>
          <w:rFonts w:hint="eastAsia" w:hAnsi="宋体"/>
          <w:szCs w:val="21"/>
        </w:rPr>
        <w:t>招标方式见投标人须知前附表。</w:t>
      </w:r>
    </w:p>
    <w:p>
      <w:pPr>
        <w:pStyle w:val="22"/>
        <w:tabs>
          <w:tab w:val="left" w:pos="630"/>
        </w:tabs>
        <w:snapToGrid w:val="0"/>
        <w:spacing w:line="360" w:lineRule="auto"/>
        <w:ind w:firstLine="400" w:firstLineChars="200"/>
        <w:rPr>
          <w:rFonts w:hAnsi="宋体"/>
          <w:szCs w:val="21"/>
        </w:rPr>
      </w:pPr>
      <w:r>
        <w:rPr>
          <w:rFonts w:hAnsi="宋体"/>
          <w:szCs w:val="21"/>
        </w:rPr>
        <w:t>1.5.2</w:t>
      </w:r>
      <w:r>
        <w:rPr>
          <w:rFonts w:hint="eastAsia" w:hAnsi="宋体"/>
          <w:szCs w:val="21"/>
        </w:rPr>
        <w:t>公开招标，是指招标人以招标公告的方式邀请不特定的法人或者其他组织投标。</w:t>
      </w:r>
    </w:p>
    <w:p>
      <w:pPr>
        <w:spacing w:line="360" w:lineRule="auto"/>
        <w:outlineLvl w:val="2"/>
        <w:rPr>
          <w:rFonts w:ascii="宋体"/>
          <w:b/>
        </w:rPr>
      </w:pPr>
      <w:bookmarkStart w:id="91" w:name="_Toc227057887"/>
      <w:bookmarkStart w:id="92" w:name="_Toc447188673"/>
      <w:bookmarkStart w:id="93" w:name="_Toc226969280"/>
      <w:bookmarkStart w:id="94" w:name="_Toc10210420"/>
      <w:bookmarkStart w:id="95" w:name="_Toc447265508"/>
      <w:bookmarkStart w:id="96" w:name="_Toc447265222"/>
      <w:bookmarkStart w:id="97" w:name="_Toc107822485"/>
      <w:bookmarkStart w:id="98" w:name="_Toc26023"/>
      <w:bookmarkStart w:id="99" w:name="_Toc8657474"/>
      <w:bookmarkStart w:id="100" w:name="_Toc227057889"/>
      <w:bookmarkStart w:id="101" w:name="_Toc226969282"/>
      <w:r>
        <w:rPr>
          <w:rFonts w:ascii="宋体" w:hAnsi="宋体"/>
          <w:b/>
        </w:rPr>
        <w:t>1.6</w:t>
      </w:r>
      <w:r>
        <w:rPr>
          <w:rFonts w:hint="eastAsia" w:ascii="宋体" w:hAnsi="宋体"/>
          <w:b/>
        </w:rPr>
        <w:t>招标组织形式</w:t>
      </w:r>
      <w:bookmarkEnd w:id="91"/>
      <w:bookmarkEnd w:id="92"/>
      <w:bookmarkEnd w:id="93"/>
      <w:bookmarkEnd w:id="94"/>
      <w:bookmarkEnd w:id="95"/>
      <w:bookmarkEnd w:id="96"/>
      <w:bookmarkEnd w:id="97"/>
      <w:bookmarkEnd w:id="98"/>
      <w:bookmarkEnd w:id="99"/>
    </w:p>
    <w:p>
      <w:pPr>
        <w:pStyle w:val="22"/>
        <w:tabs>
          <w:tab w:val="left" w:pos="630"/>
        </w:tabs>
        <w:snapToGrid w:val="0"/>
        <w:spacing w:line="360" w:lineRule="auto"/>
        <w:ind w:firstLine="400" w:firstLineChars="200"/>
        <w:rPr>
          <w:rFonts w:hAnsi="宋体"/>
          <w:szCs w:val="21"/>
        </w:rPr>
      </w:pPr>
      <w:r>
        <w:rPr>
          <w:rFonts w:hint="eastAsia" w:hAnsi="宋体"/>
          <w:szCs w:val="21"/>
        </w:rPr>
        <w:t>本项目由招标人自行组织招标的方式进行，招标组织形式及联系方式见投标人须知前附表。</w:t>
      </w:r>
    </w:p>
    <w:p>
      <w:pPr>
        <w:spacing w:line="360" w:lineRule="auto"/>
        <w:outlineLvl w:val="2"/>
        <w:rPr>
          <w:rFonts w:ascii="宋体"/>
          <w:b/>
        </w:rPr>
      </w:pPr>
      <w:bookmarkStart w:id="102" w:name="_Toc10210421"/>
      <w:bookmarkStart w:id="103" w:name="_Toc447265223"/>
      <w:bookmarkStart w:id="104" w:name="_Toc447188674"/>
      <w:bookmarkStart w:id="105" w:name="_Toc447265509"/>
      <w:bookmarkStart w:id="106" w:name="_Toc17883"/>
      <w:bookmarkStart w:id="107" w:name="_Toc8657475"/>
      <w:r>
        <w:rPr>
          <w:rFonts w:ascii="宋体" w:hAnsi="宋体"/>
          <w:b/>
        </w:rPr>
        <w:t>1.7</w:t>
      </w:r>
      <w:r>
        <w:rPr>
          <w:rFonts w:hint="eastAsia" w:ascii="宋体" w:hAnsi="宋体"/>
          <w:b/>
        </w:rPr>
        <w:t>资格审查</w:t>
      </w:r>
      <w:bookmarkEnd w:id="100"/>
      <w:bookmarkEnd w:id="101"/>
      <w:bookmarkEnd w:id="102"/>
      <w:bookmarkEnd w:id="103"/>
      <w:bookmarkEnd w:id="104"/>
      <w:bookmarkEnd w:id="105"/>
      <w:bookmarkEnd w:id="106"/>
      <w:bookmarkEnd w:id="107"/>
    </w:p>
    <w:p>
      <w:pPr>
        <w:pStyle w:val="22"/>
        <w:tabs>
          <w:tab w:val="left" w:pos="630"/>
        </w:tabs>
        <w:snapToGrid w:val="0"/>
        <w:spacing w:line="360" w:lineRule="auto"/>
        <w:ind w:firstLine="400" w:firstLineChars="200"/>
        <w:rPr>
          <w:rFonts w:hAnsi="宋体"/>
          <w:szCs w:val="21"/>
        </w:rPr>
      </w:pPr>
      <w:bookmarkStart w:id="108" w:name="_Toc447265510"/>
      <w:bookmarkStart w:id="109" w:name="_Toc447188675"/>
      <w:bookmarkStart w:id="110" w:name="_Toc447265224"/>
      <w:r>
        <w:rPr>
          <w:rFonts w:hAnsi="宋体"/>
          <w:szCs w:val="21"/>
        </w:rPr>
        <w:t>1.7.1</w:t>
      </w:r>
      <w:r>
        <w:rPr>
          <w:rFonts w:hint="eastAsia" w:hAnsi="宋体"/>
          <w:szCs w:val="21"/>
        </w:rPr>
        <w:t>本招标项目资格审查方式见投标人须知前附表。</w:t>
      </w:r>
    </w:p>
    <w:p>
      <w:pPr>
        <w:pStyle w:val="22"/>
        <w:tabs>
          <w:tab w:val="left" w:pos="630"/>
        </w:tabs>
        <w:snapToGrid w:val="0"/>
        <w:spacing w:line="360" w:lineRule="auto"/>
        <w:ind w:firstLine="400" w:firstLineChars="200"/>
        <w:rPr>
          <w:rFonts w:hAnsi="宋体"/>
          <w:szCs w:val="21"/>
        </w:rPr>
      </w:pPr>
      <w:r>
        <w:rPr>
          <w:rFonts w:hAnsi="宋体"/>
          <w:szCs w:val="21"/>
        </w:rPr>
        <w:t>1.7.2</w:t>
      </w:r>
      <w:bookmarkStart w:id="111" w:name="_Toc226969283"/>
      <w:r>
        <w:rPr>
          <w:rFonts w:hint="eastAsia" w:hAnsi="宋体"/>
          <w:szCs w:val="21"/>
        </w:rPr>
        <w:t>资格后审是指在开标后由评标委员会根据招标文件的规定对投标人进行的资格审查。</w:t>
      </w:r>
      <w:bookmarkEnd w:id="111"/>
      <w:r>
        <w:rPr>
          <w:rFonts w:hint="eastAsia" w:hAnsi="宋体"/>
          <w:szCs w:val="21"/>
        </w:rPr>
        <w:t>采用资格后审方式的，投标人应当具备的资格条件见投标人须知前附表。</w:t>
      </w:r>
    </w:p>
    <w:p>
      <w:pPr>
        <w:spacing w:line="360" w:lineRule="auto"/>
        <w:outlineLvl w:val="2"/>
        <w:rPr>
          <w:rFonts w:ascii="宋体"/>
          <w:b/>
        </w:rPr>
      </w:pPr>
      <w:bookmarkStart w:id="112" w:name="_Toc8657476"/>
      <w:bookmarkStart w:id="113" w:name="_Toc10210422"/>
      <w:bookmarkStart w:id="114" w:name="_Toc26469"/>
      <w:r>
        <w:rPr>
          <w:rFonts w:ascii="宋体" w:hAnsi="宋体"/>
          <w:b/>
        </w:rPr>
        <w:t>1.8</w:t>
      </w:r>
      <w:r>
        <w:rPr>
          <w:rFonts w:hint="eastAsia" w:ascii="宋体" w:hAnsi="宋体"/>
          <w:b/>
        </w:rPr>
        <w:t>投标人不得存在的情形</w:t>
      </w:r>
      <w:bookmarkEnd w:id="108"/>
      <w:bookmarkEnd w:id="109"/>
      <w:bookmarkEnd w:id="110"/>
      <w:bookmarkEnd w:id="112"/>
      <w:bookmarkEnd w:id="113"/>
      <w:bookmarkEnd w:id="114"/>
    </w:p>
    <w:p>
      <w:pPr>
        <w:pStyle w:val="22"/>
        <w:tabs>
          <w:tab w:val="left" w:pos="630"/>
        </w:tabs>
        <w:snapToGrid w:val="0"/>
        <w:spacing w:line="360" w:lineRule="auto"/>
        <w:ind w:firstLine="400" w:firstLineChars="200"/>
        <w:rPr>
          <w:rFonts w:hAnsi="宋体"/>
          <w:szCs w:val="21"/>
        </w:rPr>
      </w:pPr>
      <w:r>
        <w:rPr>
          <w:rFonts w:hAnsi="宋体"/>
          <w:szCs w:val="21"/>
        </w:rPr>
        <w:t>1.8.1</w:t>
      </w:r>
      <w:r>
        <w:rPr>
          <w:rFonts w:hint="eastAsia" w:hAnsi="宋体"/>
          <w:szCs w:val="21"/>
        </w:rPr>
        <w:t>投标人不得存在的情形见投标人须知前附表。</w:t>
      </w:r>
    </w:p>
    <w:p>
      <w:pPr>
        <w:spacing w:line="360" w:lineRule="auto"/>
        <w:outlineLvl w:val="2"/>
        <w:rPr>
          <w:rFonts w:ascii="宋体"/>
          <w:b/>
        </w:rPr>
      </w:pPr>
      <w:bookmarkStart w:id="115" w:name="_Toc447265512"/>
      <w:bookmarkStart w:id="116" w:name="_Toc107822488"/>
      <w:bookmarkStart w:id="117" w:name="_Toc227057891"/>
      <w:bookmarkStart w:id="118" w:name="_Toc8657477"/>
      <w:bookmarkStart w:id="119" w:name="_Toc447188677"/>
      <w:bookmarkStart w:id="120" w:name="_Toc447265226"/>
      <w:bookmarkStart w:id="121" w:name="_Toc11530"/>
      <w:bookmarkStart w:id="122" w:name="_Toc10210423"/>
      <w:bookmarkStart w:id="123" w:name="_Toc226969285"/>
      <w:r>
        <w:rPr>
          <w:rFonts w:ascii="宋体" w:hAnsi="宋体"/>
          <w:b/>
        </w:rPr>
        <w:t>1.9</w:t>
      </w:r>
      <w:r>
        <w:rPr>
          <w:rFonts w:hint="eastAsia" w:ascii="宋体" w:hAnsi="宋体"/>
          <w:b/>
        </w:rPr>
        <w:t>投标费用</w:t>
      </w:r>
      <w:bookmarkEnd w:id="115"/>
      <w:bookmarkEnd w:id="116"/>
      <w:bookmarkEnd w:id="117"/>
      <w:bookmarkEnd w:id="118"/>
      <w:bookmarkEnd w:id="119"/>
      <w:bookmarkEnd w:id="120"/>
      <w:bookmarkEnd w:id="121"/>
      <w:bookmarkEnd w:id="122"/>
      <w:bookmarkEnd w:id="123"/>
    </w:p>
    <w:p>
      <w:pPr>
        <w:pStyle w:val="22"/>
        <w:tabs>
          <w:tab w:val="left" w:pos="630"/>
        </w:tabs>
        <w:snapToGrid w:val="0"/>
        <w:spacing w:line="360" w:lineRule="auto"/>
        <w:ind w:firstLine="400" w:firstLineChars="200"/>
        <w:rPr>
          <w:rFonts w:hAnsi="宋体"/>
          <w:szCs w:val="21"/>
        </w:rPr>
      </w:pPr>
      <w:r>
        <w:rPr>
          <w:rFonts w:hint="eastAsia" w:hAnsi="宋体"/>
          <w:szCs w:val="21"/>
        </w:rPr>
        <w:t>不论结果如何，投标人自行承担所有准备和参与投标有关的费用。</w:t>
      </w:r>
      <w:bookmarkStart w:id="124" w:name="_Toc107822489"/>
      <w:bookmarkStart w:id="125" w:name="_Toc227057892"/>
      <w:bookmarkStart w:id="126" w:name="_Toc226969286"/>
    </w:p>
    <w:p>
      <w:pPr>
        <w:spacing w:line="360" w:lineRule="auto"/>
        <w:outlineLvl w:val="2"/>
        <w:rPr>
          <w:rFonts w:ascii="宋体"/>
          <w:b/>
        </w:rPr>
      </w:pPr>
      <w:bookmarkStart w:id="127" w:name="_Toc8657478"/>
      <w:bookmarkStart w:id="128" w:name="_Toc447265513"/>
      <w:bookmarkStart w:id="129" w:name="_Toc10210424"/>
      <w:bookmarkStart w:id="130" w:name="_Toc19266"/>
      <w:bookmarkStart w:id="131" w:name="_Toc447265227"/>
      <w:r>
        <w:rPr>
          <w:rFonts w:ascii="宋体" w:hAnsi="宋体"/>
          <w:b/>
        </w:rPr>
        <w:t>1.10</w:t>
      </w:r>
      <w:r>
        <w:rPr>
          <w:rFonts w:hint="eastAsia" w:ascii="宋体" w:hAnsi="宋体"/>
          <w:b/>
        </w:rPr>
        <w:t>保密</w:t>
      </w:r>
      <w:bookmarkEnd w:id="127"/>
      <w:bookmarkEnd w:id="128"/>
      <w:bookmarkEnd w:id="129"/>
      <w:bookmarkEnd w:id="130"/>
      <w:bookmarkEnd w:id="131"/>
    </w:p>
    <w:p>
      <w:pPr>
        <w:pStyle w:val="22"/>
        <w:tabs>
          <w:tab w:val="left" w:pos="630"/>
        </w:tabs>
        <w:snapToGrid w:val="0"/>
        <w:spacing w:line="360" w:lineRule="auto"/>
        <w:ind w:firstLine="400" w:firstLineChars="200"/>
        <w:rPr>
          <w:rFonts w:hAnsi="宋体"/>
          <w:szCs w:val="21"/>
        </w:rPr>
      </w:pPr>
      <w:r>
        <w:rPr>
          <w:rFonts w:hint="eastAsia" w:hAnsi="宋体"/>
          <w:szCs w:val="21"/>
        </w:rPr>
        <w:t>参与招标投标活动的各方应当对招标文件和投标文件中的商业和技术等秘密保密，违者应当对由此造成的后果承担法律责任。</w:t>
      </w:r>
    </w:p>
    <w:p>
      <w:pPr>
        <w:spacing w:line="360" w:lineRule="auto"/>
        <w:outlineLvl w:val="1"/>
        <w:rPr>
          <w:rFonts w:ascii="宋体"/>
          <w:b/>
        </w:rPr>
      </w:pPr>
      <w:bookmarkStart w:id="132" w:name="_Toc179632560"/>
      <w:bookmarkStart w:id="133" w:name="_Toc447265228"/>
      <w:bookmarkStart w:id="134" w:name="_Toc246996187"/>
      <w:bookmarkStart w:id="135" w:name="_Toc152042318"/>
      <w:bookmarkStart w:id="136" w:name="_Toc10210425"/>
      <w:bookmarkStart w:id="137" w:name="_Toc144974510"/>
      <w:bookmarkStart w:id="138" w:name="_Toc447188678"/>
      <w:bookmarkStart w:id="139" w:name="_Toc447265514"/>
      <w:bookmarkStart w:id="140" w:name="_Toc296602432"/>
      <w:bookmarkStart w:id="141" w:name="_Toc246996930"/>
      <w:bookmarkStart w:id="142" w:name="_Toc247085701"/>
      <w:bookmarkStart w:id="143" w:name="_Toc152045542"/>
      <w:bookmarkStart w:id="144" w:name="_Toc8657479"/>
      <w:bookmarkStart w:id="145" w:name="_Toc6482"/>
      <w:r>
        <w:rPr>
          <w:rFonts w:ascii="宋体" w:hAnsi="宋体"/>
          <w:b/>
        </w:rPr>
        <w:t>2.</w:t>
      </w:r>
      <w:r>
        <w:rPr>
          <w:rFonts w:hint="eastAsia" w:ascii="宋体" w:hAnsi="宋体"/>
          <w:b/>
        </w:rPr>
        <w:t>招标文件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pPr>
        <w:spacing w:line="360" w:lineRule="auto"/>
        <w:outlineLvl w:val="2"/>
        <w:rPr>
          <w:rFonts w:ascii="宋体"/>
          <w:b/>
        </w:rPr>
      </w:pPr>
      <w:bookmarkStart w:id="146" w:name="_Toc447265229"/>
      <w:bookmarkStart w:id="147" w:name="_Toc447188679"/>
      <w:bookmarkStart w:id="148" w:name="_Toc4712"/>
      <w:bookmarkStart w:id="149" w:name="_Toc8657480"/>
      <w:bookmarkStart w:id="150" w:name="_Toc10210426"/>
      <w:bookmarkStart w:id="151" w:name="_Toc447265515"/>
      <w:r>
        <w:rPr>
          <w:rFonts w:ascii="宋体" w:hAnsi="宋体"/>
          <w:b/>
        </w:rPr>
        <w:t>2.1</w:t>
      </w:r>
      <w:r>
        <w:rPr>
          <w:rFonts w:hint="eastAsia" w:ascii="宋体" w:hAnsi="宋体"/>
          <w:b/>
        </w:rPr>
        <w:t>招标文件</w:t>
      </w:r>
      <w:bookmarkEnd w:id="124"/>
      <w:r>
        <w:rPr>
          <w:rFonts w:hint="eastAsia" w:ascii="宋体" w:hAnsi="宋体"/>
          <w:b/>
        </w:rPr>
        <w:t>的组成</w:t>
      </w:r>
      <w:bookmarkEnd w:id="125"/>
      <w:bookmarkEnd w:id="126"/>
      <w:bookmarkEnd w:id="146"/>
      <w:bookmarkEnd w:id="147"/>
      <w:bookmarkEnd w:id="148"/>
      <w:bookmarkEnd w:id="149"/>
      <w:bookmarkEnd w:id="150"/>
      <w:bookmarkEnd w:id="151"/>
    </w:p>
    <w:p>
      <w:pPr>
        <w:pStyle w:val="22"/>
        <w:tabs>
          <w:tab w:val="left" w:pos="630"/>
        </w:tabs>
        <w:snapToGrid w:val="0"/>
        <w:spacing w:line="360" w:lineRule="auto"/>
        <w:ind w:firstLine="400" w:firstLineChars="200"/>
        <w:rPr>
          <w:rFonts w:hAnsi="宋体"/>
          <w:szCs w:val="21"/>
        </w:rPr>
      </w:pPr>
      <w:r>
        <w:rPr>
          <w:rFonts w:hAnsi="宋体"/>
          <w:szCs w:val="21"/>
        </w:rPr>
        <w:t>2.1.1</w:t>
      </w:r>
      <w:r>
        <w:rPr>
          <w:rFonts w:hint="eastAsia" w:hAnsi="宋体"/>
          <w:szCs w:val="21"/>
        </w:rPr>
        <w:t>招标文件一般由以下部分组成：</w:t>
      </w:r>
    </w:p>
    <w:p>
      <w:pPr>
        <w:pStyle w:val="22"/>
        <w:tabs>
          <w:tab w:val="left" w:pos="630"/>
        </w:tabs>
        <w:snapToGrid w:val="0"/>
        <w:spacing w:line="360" w:lineRule="auto"/>
        <w:ind w:firstLine="400" w:firstLineChars="200"/>
        <w:rPr>
          <w:rFonts w:hAnsi="宋体"/>
          <w:szCs w:val="21"/>
        </w:rPr>
      </w:pPr>
      <w:r>
        <w:rPr>
          <w:rFonts w:hint="eastAsia" w:hAnsi="宋体"/>
          <w:szCs w:val="21"/>
        </w:rPr>
        <w:t>第一章</w:t>
      </w:r>
      <w:r>
        <w:rPr>
          <w:rFonts w:hAnsi="宋体"/>
          <w:szCs w:val="21"/>
        </w:rPr>
        <w:t xml:space="preserve"> </w:t>
      </w:r>
      <w:r>
        <w:rPr>
          <w:rFonts w:hint="eastAsia" w:hAnsi="宋体"/>
          <w:szCs w:val="21"/>
        </w:rPr>
        <w:t>招标公告</w:t>
      </w:r>
    </w:p>
    <w:p>
      <w:pPr>
        <w:pStyle w:val="22"/>
        <w:tabs>
          <w:tab w:val="left" w:pos="630"/>
        </w:tabs>
        <w:snapToGrid w:val="0"/>
        <w:spacing w:line="360" w:lineRule="auto"/>
        <w:ind w:firstLine="400" w:firstLineChars="200"/>
        <w:rPr>
          <w:rFonts w:hAnsi="宋体"/>
          <w:szCs w:val="21"/>
        </w:rPr>
      </w:pPr>
      <w:r>
        <w:rPr>
          <w:rFonts w:hint="eastAsia" w:hAnsi="宋体"/>
          <w:szCs w:val="21"/>
        </w:rPr>
        <w:t>第二章</w:t>
      </w:r>
      <w:r>
        <w:rPr>
          <w:rFonts w:hAnsi="宋体"/>
          <w:szCs w:val="21"/>
        </w:rPr>
        <w:t xml:space="preserve"> </w:t>
      </w:r>
      <w:r>
        <w:rPr>
          <w:rFonts w:hint="eastAsia" w:hAnsi="宋体"/>
          <w:szCs w:val="21"/>
        </w:rPr>
        <w:t>投标人须知</w:t>
      </w:r>
    </w:p>
    <w:p>
      <w:pPr>
        <w:pStyle w:val="22"/>
        <w:tabs>
          <w:tab w:val="left" w:pos="630"/>
        </w:tabs>
        <w:snapToGrid w:val="0"/>
        <w:spacing w:line="360" w:lineRule="auto"/>
        <w:ind w:firstLine="400" w:firstLineChars="200"/>
        <w:rPr>
          <w:rFonts w:hAnsi="宋体"/>
          <w:szCs w:val="21"/>
        </w:rPr>
      </w:pPr>
      <w:r>
        <w:rPr>
          <w:rFonts w:hint="eastAsia" w:hAnsi="宋体"/>
          <w:szCs w:val="21"/>
        </w:rPr>
        <w:t>第三章</w:t>
      </w:r>
      <w:r>
        <w:rPr>
          <w:rFonts w:hAnsi="宋体"/>
          <w:szCs w:val="21"/>
        </w:rPr>
        <w:t xml:space="preserve"> </w:t>
      </w:r>
      <w:r>
        <w:rPr>
          <w:rFonts w:hint="eastAsia" w:hAnsi="宋体"/>
          <w:szCs w:val="21"/>
        </w:rPr>
        <w:t>评标办法（综合评标法）</w:t>
      </w:r>
    </w:p>
    <w:p>
      <w:pPr>
        <w:pStyle w:val="22"/>
        <w:tabs>
          <w:tab w:val="left" w:pos="630"/>
        </w:tabs>
        <w:snapToGrid w:val="0"/>
        <w:spacing w:line="360" w:lineRule="auto"/>
        <w:ind w:firstLine="400" w:firstLineChars="200"/>
        <w:rPr>
          <w:rFonts w:hAnsi="宋体"/>
          <w:szCs w:val="21"/>
        </w:rPr>
      </w:pPr>
      <w:r>
        <w:rPr>
          <w:rFonts w:hint="eastAsia" w:hAnsi="宋体"/>
          <w:szCs w:val="21"/>
        </w:rPr>
        <w:t>第四章</w:t>
      </w:r>
      <w:r>
        <w:rPr>
          <w:rFonts w:hAnsi="宋体"/>
          <w:szCs w:val="21"/>
        </w:rPr>
        <w:t xml:space="preserve"> </w:t>
      </w:r>
      <w:r>
        <w:rPr>
          <w:rFonts w:hint="eastAsia" w:hAnsi="宋体"/>
          <w:szCs w:val="21"/>
        </w:rPr>
        <w:t>招标人服务需求</w:t>
      </w:r>
    </w:p>
    <w:p>
      <w:pPr>
        <w:pStyle w:val="22"/>
        <w:tabs>
          <w:tab w:val="left" w:pos="630"/>
        </w:tabs>
        <w:snapToGrid w:val="0"/>
        <w:spacing w:line="360" w:lineRule="auto"/>
        <w:ind w:firstLine="400" w:firstLineChars="200"/>
        <w:rPr>
          <w:rFonts w:hAnsi="宋体"/>
          <w:szCs w:val="21"/>
        </w:rPr>
      </w:pPr>
      <w:r>
        <w:rPr>
          <w:rFonts w:hint="eastAsia" w:hAnsi="宋体"/>
          <w:szCs w:val="21"/>
        </w:rPr>
        <w:t>第五章</w:t>
      </w:r>
      <w:r>
        <w:rPr>
          <w:rFonts w:hAnsi="宋体"/>
          <w:szCs w:val="21"/>
        </w:rPr>
        <w:t xml:space="preserve"> </w:t>
      </w:r>
      <w:r>
        <w:rPr>
          <w:rFonts w:hint="eastAsia" w:hAnsi="宋体"/>
          <w:szCs w:val="21"/>
        </w:rPr>
        <w:t>合同条款</w:t>
      </w:r>
    </w:p>
    <w:p>
      <w:pPr>
        <w:pStyle w:val="22"/>
        <w:tabs>
          <w:tab w:val="left" w:pos="630"/>
        </w:tabs>
        <w:snapToGrid w:val="0"/>
        <w:spacing w:line="360" w:lineRule="auto"/>
        <w:ind w:firstLine="400" w:firstLineChars="200"/>
        <w:rPr>
          <w:rFonts w:hAnsi="宋体"/>
          <w:szCs w:val="21"/>
        </w:rPr>
      </w:pPr>
      <w:r>
        <w:rPr>
          <w:rFonts w:hint="eastAsia" w:hAnsi="宋体"/>
          <w:szCs w:val="21"/>
        </w:rPr>
        <w:t>第六章</w:t>
      </w:r>
      <w:r>
        <w:rPr>
          <w:rFonts w:hAnsi="宋体"/>
          <w:szCs w:val="21"/>
        </w:rPr>
        <w:t xml:space="preserve"> </w:t>
      </w:r>
      <w:r>
        <w:rPr>
          <w:rFonts w:hint="eastAsia" w:hAnsi="宋体"/>
          <w:szCs w:val="21"/>
        </w:rPr>
        <w:t>投标文件格式</w:t>
      </w:r>
    </w:p>
    <w:p>
      <w:pPr>
        <w:pStyle w:val="22"/>
        <w:tabs>
          <w:tab w:val="left" w:pos="630"/>
        </w:tabs>
        <w:snapToGrid w:val="0"/>
        <w:spacing w:line="360" w:lineRule="auto"/>
        <w:ind w:firstLine="400" w:firstLineChars="200"/>
        <w:rPr>
          <w:rFonts w:hAnsi="宋体"/>
          <w:szCs w:val="21"/>
        </w:rPr>
      </w:pPr>
      <w:r>
        <w:rPr>
          <w:rFonts w:hAnsi="宋体"/>
          <w:szCs w:val="21"/>
        </w:rPr>
        <w:t>2.1.2</w:t>
      </w:r>
      <w:r>
        <w:rPr>
          <w:rFonts w:hint="eastAsia" w:hAnsi="宋体"/>
          <w:szCs w:val="21"/>
        </w:rPr>
        <w:t>招标文件对同一内容的表述应当一致。第一章</w:t>
      </w:r>
      <w:r>
        <w:rPr>
          <w:rFonts w:hAnsi="宋体"/>
          <w:szCs w:val="21"/>
        </w:rPr>
        <w:t xml:space="preserve"> </w:t>
      </w:r>
      <w:r>
        <w:rPr>
          <w:rFonts w:hint="eastAsia" w:hAnsi="宋体"/>
          <w:szCs w:val="21"/>
        </w:rPr>
        <w:t>招标公告与招标文件在同一内容的表述上有矛盾或者冲突时，以第一章</w:t>
      </w:r>
      <w:r>
        <w:rPr>
          <w:rFonts w:hAnsi="宋体"/>
          <w:szCs w:val="21"/>
        </w:rPr>
        <w:t xml:space="preserve"> </w:t>
      </w:r>
      <w:r>
        <w:rPr>
          <w:rFonts w:hint="eastAsia" w:hAnsi="宋体"/>
          <w:szCs w:val="21"/>
        </w:rPr>
        <w:t>招标公告为准；投标人须知前附表与投标人须知正文在同一内容的表述上有矛盾或者冲突时，以投标人须知前附表为准。</w:t>
      </w:r>
    </w:p>
    <w:p>
      <w:pPr>
        <w:spacing w:line="360" w:lineRule="auto"/>
        <w:outlineLvl w:val="2"/>
        <w:rPr>
          <w:rFonts w:ascii="宋体"/>
          <w:b/>
        </w:rPr>
      </w:pPr>
      <w:bookmarkStart w:id="152" w:name="_Toc226969287"/>
      <w:bookmarkStart w:id="153" w:name="_Toc227057893"/>
      <w:bookmarkStart w:id="154" w:name="_Toc107822490"/>
      <w:bookmarkStart w:id="155" w:name="_Toc447265518"/>
      <w:bookmarkStart w:id="156" w:name="_Toc8657483"/>
      <w:bookmarkStart w:id="157" w:name="_Toc447265232"/>
      <w:bookmarkStart w:id="158" w:name="_Toc447188682"/>
      <w:bookmarkStart w:id="159" w:name="_Toc9474"/>
      <w:bookmarkStart w:id="160" w:name="_Toc10210429"/>
      <w:r>
        <w:rPr>
          <w:rFonts w:ascii="宋体" w:hAnsi="宋体"/>
          <w:b/>
        </w:rPr>
        <w:t>2.2</w:t>
      </w:r>
      <w:r>
        <w:rPr>
          <w:rFonts w:hint="eastAsia" w:ascii="宋体" w:hAnsi="宋体"/>
          <w:b/>
        </w:rPr>
        <w:t>招标文件的澄清</w:t>
      </w:r>
      <w:bookmarkEnd w:id="152"/>
      <w:bookmarkEnd w:id="153"/>
      <w:bookmarkEnd w:id="154"/>
      <w:r>
        <w:rPr>
          <w:rFonts w:hint="eastAsia" w:ascii="宋体" w:hAnsi="宋体"/>
          <w:b/>
        </w:rPr>
        <w:t>和修改</w:t>
      </w:r>
      <w:bookmarkEnd w:id="155"/>
      <w:bookmarkEnd w:id="156"/>
      <w:bookmarkEnd w:id="157"/>
      <w:bookmarkEnd w:id="158"/>
      <w:bookmarkEnd w:id="159"/>
      <w:bookmarkEnd w:id="160"/>
    </w:p>
    <w:p>
      <w:pPr>
        <w:pStyle w:val="22"/>
        <w:tabs>
          <w:tab w:val="left" w:pos="630"/>
        </w:tabs>
        <w:snapToGrid w:val="0"/>
        <w:spacing w:line="360" w:lineRule="auto"/>
        <w:ind w:firstLine="400" w:firstLineChars="200"/>
        <w:rPr>
          <w:rFonts w:hAnsi="宋体"/>
          <w:szCs w:val="21"/>
        </w:rPr>
      </w:pPr>
      <w:bookmarkStart w:id="161" w:name="_Toc246996191"/>
      <w:bookmarkStart w:id="162" w:name="_Toc296602436"/>
      <w:bookmarkStart w:id="163" w:name="_Toc144974514"/>
      <w:bookmarkStart w:id="164" w:name="_Toc447188683"/>
      <w:bookmarkStart w:id="165" w:name="_Toc247085705"/>
      <w:bookmarkStart w:id="166" w:name="_Toc246996934"/>
      <w:bookmarkStart w:id="167" w:name="_Toc152042322"/>
      <w:bookmarkStart w:id="168" w:name="_Toc447265519"/>
      <w:bookmarkStart w:id="169" w:name="_Toc447265233"/>
      <w:bookmarkStart w:id="170" w:name="_Toc152045546"/>
      <w:bookmarkStart w:id="171" w:name="_Toc179632564"/>
      <w:bookmarkStart w:id="172" w:name="_Toc107822492"/>
      <w:bookmarkStart w:id="173" w:name="_Toc227057895"/>
      <w:bookmarkStart w:id="174" w:name="_Toc226969289"/>
      <w:r>
        <w:rPr>
          <w:rFonts w:hAnsi="宋体"/>
          <w:szCs w:val="21"/>
        </w:rPr>
        <w:t>2.2.1</w:t>
      </w:r>
      <w:r>
        <w:rPr>
          <w:rFonts w:hint="eastAsia" w:hAnsi="宋体"/>
          <w:szCs w:val="21"/>
        </w:rPr>
        <w:t>投标人对招标文件有疑问的，应当按照投标人须知前附表规定的时间和方式，要求招标人对招标文件进行澄清。</w:t>
      </w:r>
    </w:p>
    <w:p>
      <w:pPr>
        <w:pStyle w:val="22"/>
        <w:tabs>
          <w:tab w:val="left" w:pos="630"/>
        </w:tabs>
        <w:snapToGrid w:val="0"/>
        <w:spacing w:line="360" w:lineRule="auto"/>
        <w:ind w:firstLine="400" w:firstLineChars="200"/>
        <w:rPr>
          <w:rFonts w:hAnsi="宋体"/>
          <w:szCs w:val="21"/>
        </w:rPr>
      </w:pPr>
      <w:r>
        <w:rPr>
          <w:rFonts w:hAnsi="宋体"/>
          <w:szCs w:val="21"/>
        </w:rPr>
        <w:t>2.2.2</w:t>
      </w:r>
      <w:r>
        <w:rPr>
          <w:rFonts w:hint="eastAsia" w:hAnsi="宋体"/>
          <w:szCs w:val="21"/>
        </w:rPr>
        <w:t>招标人应当按照投标人须知前附表规定的时间和方式，将澄清或者修改内容发给所有购买招标文件的投标人，但不指明问题的来源。</w:t>
      </w:r>
    </w:p>
    <w:p>
      <w:pPr>
        <w:pStyle w:val="22"/>
        <w:tabs>
          <w:tab w:val="left" w:pos="630"/>
        </w:tabs>
        <w:snapToGrid w:val="0"/>
        <w:spacing w:line="360" w:lineRule="auto"/>
        <w:ind w:firstLine="400" w:firstLineChars="200"/>
        <w:rPr>
          <w:rFonts w:hAnsi="宋体"/>
          <w:szCs w:val="21"/>
        </w:rPr>
      </w:pPr>
      <w:r>
        <w:rPr>
          <w:rFonts w:hAnsi="宋体"/>
          <w:szCs w:val="21"/>
        </w:rPr>
        <w:t>2.2.3</w:t>
      </w:r>
      <w:r>
        <w:rPr>
          <w:rFonts w:hint="eastAsia" w:hAnsi="宋体"/>
          <w:szCs w:val="21"/>
        </w:rPr>
        <w:t>如澄清或者修改的内容可能影响投标文件编制的，应当在递交投标文件截止时间至少</w:t>
      </w:r>
      <w:r>
        <w:rPr>
          <w:rFonts w:hAnsi="宋体"/>
          <w:szCs w:val="21"/>
        </w:rPr>
        <w:t>15</w:t>
      </w:r>
      <w:r>
        <w:rPr>
          <w:rFonts w:hint="eastAsia" w:hAnsi="宋体"/>
          <w:szCs w:val="21"/>
        </w:rPr>
        <w:t>日前发出，不足</w:t>
      </w:r>
      <w:r>
        <w:rPr>
          <w:rFonts w:hAnsi="宋体"/>
          <w:szCs w:val="21"/>
        </w:rPr>
        <w:t>15</w:t>
      </w:r>
      <w:r>
        <w:rPr>
          <w:rFonts w:hint="eastAsia" w:hAnsi="宋体"/>
          <w:szCs w:val="21"/>
        </w:rPr>
        <w:t>日的，招标人应当相应顺延投标截止时间。</w:t>
      </w:r>
    </w:p>
    <w:p>
      <w:pPr>
        <w:pStyle w:val="22"/>
        <w:tabs>
          <w:tab w:val="left" w:pos="630"/>
        </w:tabs>
        <w:snapToGrid w:val="0"/>
        <w:spacing w:line="360" w:lineRule="auto"/>
        <w:ind w:firstLine="400" w:firstLineChars="200"/>
        <w:rPr>
          <w:rFonts w:hAnsi="宋体"/>
          <w:szCs w:val="21"/>
        </w:rPr>
      </w:pPr>
      <w:r>
        <w:rPr>
          <w:rFonts w:hAnsi="宋体"/>
          <w:szCs w:val="21"/>
        </w:rPr>
        <w:t>2.2.4</w:t>
      </w:r>
      <w:r>
        <w:rPr>
          <w:rFonts w:hint="eastAsia" w:hAnsi="宋体"/>
          <w:szCs w:val="21"/>
        </w:rPr>
        <w:t>投标人收到澄清或者修改后，应当通知招标人，确认已收到该澄清或者修改。</w:t>
      </w:r>
    </w:p>
    <w:p>
      <w:pPr>
        <w:pStyle w:val="22"/>
        <w:tabs>
          <w:tab w:val="left" w:pos="630"/>
        </w:tabs>
        <w:snapToGrid w:val="0"/>
        <w:spacing w:line="360" w:lineRule="auto"/>
        <w:ind w:firstLine="400" w:firstLineChars="200"/>
        <w:rPr>
          <w:rFonts w:hAnsi="宋体"/>
          <w:szCs w:val="21"/>
        </w:rPr>
      </w:pPr>
      <w:r>
        <w:rPr>
          <w:rFonts w:hAnsi="宋体"/>
          <w:szCs w:val="21"/>
        </w:rPr>
        <w:t>2.2.5</w:t>
      </w:r>
      <w:r>
        <w:rPr>
          <w:rFonts w:hint="eastAsia" w:hAnsi="宋体"/>
          <w:szCs w:val="21"/>
        </w:rPr>
        <w:t>所有关于招标文件的澄清和修改均作为招标文件的补充部分。当招标文件、招标文件的澄清或者修改等在同一内容的表述上不一致时，以最后发出的书面文件为准。</w:t>
      </w:r>
    </w:p>
    <w:p>
      <w:pPr>
        <w:spacing w:line="360" w:lineRule="auto"/>
        <w:outlineLvl w:val="1"/>
        <w:rPr>
          <w:rFonts w:ascii="宋体"/>
          <w:b/>
        </w:rPr>
      </w:pPr>
      <w:bookmarkStart w:id="175" w:name="_Toc8657484"/>
      <w:bookmarkStart w:id="176" w:name="_Toc10210430"/>
      <w:bookmarkStart w:id="177" w:name="_Toc15500"/>
      <w:r>
        <w:rPr>
          <w:rFonts w:ascii="宋体" w:hAnsi="宋体"/>
          <w:b/>
        </w:rPr>
        <w:t>3.</w:t>
      </w:r>
      <w:r>
        <w:rPr>
          <w:rFonts w:hint="eastAsia" w:ascii="宋体" w:hAnsi="宋体"/>
          <w:b/>
        </w:rPr>
        <w:t>投标文件</w:t>
      </w:r>
      <w:bookmarkEnd w:id="161"/>
      <w:bookmarkEnd w:id="162"/>
      <w:bookmarkEnd w:id="163"/>
      <w:bookmarkEnd w:id="164"/>
      <w:bookmarkEnd w:id="165"/>
      <w:bookmarkEnd w:id="166"/>
      <w:bookmarkEnd w:id="167"/>
      <w:bookmarkEnd w:id="168"/>
      <w:bookmarkEnd w:id="169"/>
      <w:bookmarkEnd w:id="170"/>
      <w:bookmarkEnd w:id="171"/>
      <w:bookmarkEnd w:id="175"/>
      <w:bookmarkEnd w:id="176"/>
      <w:bookmarkEnd w:id="177"/>
    </w:p>
    <w:bookmarkEnd w:id="48"/>
    <w:bookmarkEnd w:id="172"/>
    <w:bookmarkEnd w:id="173"/>
    <w:bookmarkEnd w:id="174"/>
    <w:p>
      <w:pPr>
        <w:spacing w:line="360" w:lineRule="auto"/>
        <w:outlineLvl w:val="2"/>
        <w:rPr>
          <w:rFonts w:ascii="宋体"/>
          <w:b/>
        </w:rPr>
      </w:pPr>
      <w:bookmarkStart w:id="178" w:name="_Toc226969290"/>
      <w:bookmarkStart w:id="179" w:name="_Toc107822493"/>
      <w:bookmarkStart w:id="180" w:name="_Toc227057896"/>
      <w:bookmarkStart w:id="181" w:name="_Toc450489293"/>
      <w:bookmarkStart w:id="182" w:name="_Toc447188684"/>
      <w:bookmarkStart w:id="183" w:name="_Toc447265520"/>
      <w:bookmarkStart w:id="184" w:name="_Toc447265234"/>
      <w:bookmarkStart w:id="185" w:name="_Toc27929"/>
      <w:bookmarkStart w:id="186" w:name="_Toc8657485"/>
      <w:bookmarkStart w:id="187" w:name="_Toc10210431"/>
      <w:bookmarkStart w:id="188" w:name="_Toc447265242"/>
      <w:bookmarkStart w:id="189" w:name="_Toc184635074"/>
      <w:bookmarkStart w:id="190" w:name="_Toc447265528"/>
      <w:bookmarkStart w:id="191" w:name="_Toc107822503"/>
      <w:bookmarkStart w:id="192" w:name="_Toc488655848"/>
      <w:bookmarkStart w:id="193" w:name="_Toc227057906"/>
      <w:bookmarkStart w:id="194" w:name="_Toc226969300"/>
      <w:r>
        <w:rPr>
          <w:rFonts w:ascii="宋体" w:hAnsi="宋体"/>
          <w:b/>
        </w:rPr>
        <w:t>3.1</w:t>
      </w:r>
      <w:r>
        <w:rPr>
          <w:rFonts w:hint="eastAsia" w:ascii="宋体" w:hAnsi="宋体"/>
          <w:b/>
        </w:rPr>
        <w:t>投标文件的</w:t>
      </w:r>
      <w:bookmarkEnd w:id="178"/>
      <w:bookmarkEnd w:id="179"/>
      <w:bookmarkEnd w:id="180"/>
      <w:r>
        <w:rPr>
          <w:rFonts w:hint="eastAsia" w:ascii="宋体" w:hAnsi="宋体"/>
          <w:b/>
        </w:rPr>
        <w:t>组成</w:t>
      </w:r>
      <w:bookmarkEnd w:id="181"/>
      <w:bookmarkEnd w:id="182"/>
      <w:bookmarkEnd w:id="183"/>
      <w:bookmarkEnd w:id="184"/>
      <w:bookmarkEnd w:id="185"/>
      <w:bookmarkEnd w:id="186"/>
      <w:bookmarkEnd w:id="187"/>
    </w:p>
    <w:p>
      <w:pPr>
        <w:pStyle w:val="22"/>
        <w:tabs>
          <w:tab w:val="left" w:pos="630"/>
        </w:tabs>
        <w:snapToGrid w:val="0"/>
        <w:spacing w:line="360" w:lineRule="auto"/>
        <w:ind w:firstLine="400" w:firstLineChars="200"/>
        <w:rPr>
          <w:rFonts w:hAnsi="宋体"/>
          <w:szCs w:val="21"/>
        </w:rPr>
      </w:pPr>
      <w:r>
        <w:rPr>
          <w:rFonts w:hint="eastAsia" w:hAnsi="宋体"/>
          <w:szCs w:val="21"/>
        </w:rPr>
        <w:t>投标人应当按照投标人须知前附表的要求制作并递交投标文件。投标文件组成见第六章</w:t>
      </w:r>
      <w:r>
        <w:rPr>
          <w:rFonts w:hAnsi="宋体"/>
          <w:szCs w:val="21"/>
        </w:rPr>
        <w:t xml:space="preserve"> </w:t>
      </w:r>
      <w:r>
        <w:rPr>
          <w:rFonts w:hint="eastAsia" w:hAnsi="宋体"/>
          <w:szCs w:val="21"/>
        </w:rPr>
        <w:t>投标文件格式。</w:t>
      </w:r>
    </w:p>
    <w:p>
      <w:pPr>
        <w:spacing w:line="360" w:lineRule="auto"/>
        <w:outlineLvl w:val="2"/>
        <w:rPr>
          <w:rFonts w:ascii="宋体"/>
          <w:b/>
        </w:rPr>
      </w:pPr>
      <w:bookmarkStart w:id="195" w:name="_Toc8657486"/>
      <w:bookmarkStart w:id="196" w:name="_Toc447265235"/>
      <w:bookmarkStart w:id="197" w:name="_Toc10210432"/>
      <w:bookmarkStart w:id="198" w:name="_Toc1639"/>
      <w:bookmarkStart w:id="199" w:name="_Toc447188685"/>
      <w:bookmarkStart w:id="200" w:name="_Toc450489294"/>
      <w:bookmarkStart w:id="201" w:name="_Toc447265521"/>
      <w:r>
        <w:rPr>
          <w:rFonts w:ascii="宋体" w:hAnsi="宋体"/>
          <w:b/>
        </w:rPr>
        <w:t>3.2</w:t>
      </w:r>
      <w:r>
        <w:rPr>
          <w:rFonts w:hint="eastAsia" w:ascii="宋体" w:hAnsi="宋体"/>
          <w:b/>
        </w:rPr>
        <w:t>投标文件的编制</w:t>
      </w:r>
      <w:bookmarkEnd w:id="195"/>
      <w:bookmarkEnd w:id="196"/>
      <w:bookmarkEnd w:id="197"/>
      <w:bookmarkEnd w:id="198"/>
      <w:bookmarkEnd w:id="199"/>
      <w:bookmarkEnd w:id="200"/>
      <w:bookmarkEnd w:id="201"/>
    </w:p>
    <w:p>
      <w:pPr>
        <w:pStyle w:val="22"/>
        <w:tabs>
          <w:tab w:val="left" w:pos="630"/>
        </w:tabs>
        <w:snapToGrid w:val="0"/>
        <w:spacing w:line="360" w:lineRule="auto"/>
        <w:ind w:firstLine="400" w:firstLineChars="200"/>
        <w:rPr>
          <w:rFonts w:hAnsi="宋体"/>
          <w:szCs w:val="21"/>
        </w:rPr>
      </w:pPr>
      <w:r>
        <w:rPr>
          <w:rFonts w:hAnsi="宋体"/>
          <w:szCs w:val="21"/>
        </w:rPr>
        <w:t>3.2.1</w:t>
      </w:r>
      <w:r>
        <w:rPr>
          <w:rFonts w:hint="eastAsia" w:hAnsi="宋体"/>
          <w:szCs w:val="21"/>
        </w:rPr>
        <w:t>投标人应当按照招标文件的要求编制投标文件，投标文件应当对招标文件提出的实质性要求和条件做出响应。</w:t>
      </w:r>
    </w:p>
    <w:p>
      <w:pPr>
        <w:pStyle w:val="22"/>
        <w:tabs>
          <w:tab w:val="left" w:pos="630"/>
        </w:tabs>
        <w:snapToGrid w:val="0"/>
        <w:spacing w:line="360" w:lineRule="auto"/>
        <w:ind w:firstLine="400" w:firstLineChars="200"/>
        <w:rPr>
          <w:rFonts w:hAnsi="宋体"/>
          <w:szCs w:val="21"/>
        </w:rPr>
      </w:pPr>
      <w:r>
        <w:rPr>
          <w:rFonts w:hAnsi="宋体"/>
          <w:szCs w:val="21"/>
        </w:rPr>
        <w:t>3.2.2</w:t>
      </w:r>
      <w:r>
        <w:rPr>
          <w:rFonts w:hint="eastAsia" w:hAnsi="宋体"/>
          <w:szCs w:val="21"/>
        </w:rPr>
        <w:t>投标人应当认真阅读招标文件中所有的事项、格式、条款和技术规范等。投标人没有按照招标文件要求递交全部资料或者投标人没有对招标文件在各方面都作出实质性响应是投标人的风险，并可能导致其投标被否决。</w:t>
      </w:r>
    </w:p>
    <w:p>
      <w:pPr>
        <w:pStyle w:val="22"/>
        <w:tabs>
          <w:tab w:val="left" w:pos="630"/>
        </w:tabs>
        <w:snapToGrid w:val="0"/>
        <w:spacing w:line="360" w:lineRule="auto"/>
        <w:ind w:firstLine="400" w:firstLineChars="200"/>
        <w:rPr>
          <w:rFonts w:hAnsi="宋体"/>
          <w:szCs w:val="21"/>
        </w:rPr>
      </w:pPr>
      <w:r>
        <w:rPr>
          <w:rFonts w:hAnsi="宋体"/>
          <w:szCs w:val="21"/>
        </w:rPr>
        <w:t>3.2.3</w:t>
      </w:r>
      <w:r>
        <w:rPr>
          <w:rFonts w:hint="eastAsia" w:hAnsi="宋体"/>
          <w:szCs w:val="21"/>
        </w:rPr>
        <w:t>投标人递交的投标文件以及投标人与招标人就有关投标的所有往来函电均应当使用中文。投标人递交的证明文件和文献可以使用另一种语言，但相应内容应当译成中文，在解释投标文件时以中文译本为准。</w:t>
      </w:r>
    </w:p>
    <w:p>
      <w:pPr>
        <w:pStyle w:val="22"/>
        <w:tabs>
          <w:tab w:val="left" w:pos="630"/>
        </w:tabs>
        <w:snapToGrid w:val="0"/>
        <w:spacing w:line="360" w:lineRule="auto"/>
        <w:ind w:firstLine="404" w:firstLineChars="202"/>
        <w:rPr>
          <w:rFonts w:hint="eastAsia" w:hAnsi="宋体"/>
          <w:szCs w:val="21"/>
        </w:rPr>
      </w:pPr>
      <w:r>
        <w:rPr>
          <w:rFonts w:hAnsi="宋体"/>
          <w:szCs w:val="21"/>
        </w:rPr>
        <w:t>3.2.4</w:t>
      </w:r>
      <w:r>
        <w:rPr>
          <w:rFonts w:hint="eastAsia" w:hAnsi="宋体"/>
          <w:szCs w:val="21"/>
        </w:rPr>
        <w:t>投标文件应当使用不褪色的材料书写或者打印，并加盖单位公章，由投标人的法定代表人或者其委托代理人签字或盖章的，投标文件应当附</w:t>
      </w:r>
      <w:r>
        <w:rPr>
          <w:rFonts w:hint="eastAsia" w:hAnsi="宋体"/>
        </w:rPr>
        <w:t>《法定代表人身份证明》和</w:t>
      </w:r>
      <w:r>
        <w:rPr>
          <w:rFonts w:hint="eastAsia" w:hAnsi="宋体"/>
          <w:szCs w:val="21"/>
        </w:rPr>
        <w:t>法定代表人签署的《法定代表人授权委托书》。投标文件应当尽量避免涂改、行间插字或者删除。如果出现上述情况，改动之处应当加盖单位公章或者由投标人的法定代表人或者其委托代理人签字确认。</w:t>
      </w:r>
    </w:p>
    <w:p>
      <w:pPr>
        <w:spacing w:line="360" w:lineRule="auto"/>
        <w:outlineLvl w:val="2"/>
        <w:rPr>
          <w:rFonts w:ascii="宋体"/>
          <w:b/>
        </w:rPr>
      </w:pPr>
      <w:bookmarkStart w:id="202" w:name="_Toc227057898"/>
      <w:bookmarkStart w:id="203" w:name="_Toc226969292"/>
      <w:bookmarkStart w:id="204" w:name="_Toc10210433"/>
      <w:bookmarkStart w:id="205" w:name="_Toc107822495"/>
      <w:bookmarkStart w:id="206" w:name="_Toc447265236"/>
      <w:bookmarkStart w:id="207" w:name="_Toc8657487"/>
      <w:bookmarkStart w:id="208" w:name="_Toc18512"/>
      <w:bookmarkStart w:id="209" w:name="_Toc447188686"/>
      <w:bookmarkStart w:id="210" w:name="_Toc450489295"/>
      <w:bookmarkStart w:id="211" w:name="_Toc447265522"/>
      <w:r>
        <w:rPr>
          <w:rFonts w:ascii="宋体" w:hAnsi="宋体"/>
          <w:b/>
        </w:rPr>
        <w:t>3.3</w:t>
      </w:r>
      <w:r>
        <w:rPr>
          <w:rFonts w:hint="eastAsia" w:ascii="宋体" w:hAnsi="宋体"/>
          <w:b/>
        </w:rPr>
        <w:t>投标报价</w:t>
      </w:r>
      <w:bookmarkEnd w:id="202"/>
      <w:bookmarkEnd w:id="203"/>
      <w:bookmarkEnd w:id="204"/>
      <w:bookmarkEnd w:id="205"/>
      <w:bookmarkEnd w:id="206"/>
      <w:bookmarkEnd w:id="207"/>
      <w:bookmarkEnd w:id="208"/>
      <w:bookmarkEnd w:id="209"/>
      <w:bookmarkEnd w:id="210"/>
      <w:bookmarkEnd w:id="211"/>
    </w:p>
    <w:p>
      <w:pPr>
        <w:pStyle w:val="22"/>
        <w:tabs>
          <w:tab w:val="left" w:pos="630"/>
        </w:tabs>
        <w:snapToGrid w:val="0"/>
        <w:spacing w:line="360" w:lineRule="auto"/>
        <w:ind w:firstLine="400" w:firstLineChars="200"/>
        <w:rPr>
          <w:rFonts w:hAnsi="宋体"/>
          <w:szCs w:val="21"/>
        </w:rPr>
      </w:pPr>
      <w:r>
        <w:rPr>
          <w:rFonts w:hAnsi="宋体"/>
          <w:szCs w:val="21"/>
        </w:rPr>
        <w:t>3.3.1</w:t>
      </w:r>
      <w:r>
        <w:rPr>
          <w:rFonts w:hint="eastAsia" w:hAnsi="宋体"/>
          <w:szCs w:val="21"/>
        </w:rPr>
        <w:t>投标人应当根据招标文件要求进行报价，投标人应当报出符合招标文件要求的拟提供服务总价。</w:t>
      </w:r>
      <w:r>
        <w:rPr>
          <w:rFonts w:hint="eastAsia" w:hAnsi="宋体" w:cs="宋体"/>
          <w:szCs w:val="21"/>
        </w:rPr>
        <w:t>投标报价中必须包含完成本项目所产生的一切费用，招标人不再支付投标报价之外的任何费用。（服务所必需的各类评审费、设备费、采样费、分析费、人工费用、材料费、食宿费、资料费及税金等），费用不管是否在投标报价表中单列，均视为投标总价中已包括该费用。</w:t>
      </w:r>
    </w:p>
    <w:p>
      <w:pPr>
        <w:pStyle w:val="22"/>
        <w:tabs>
          <w:tab w:val="left" w:pos="630"/>
        </w:tabs>
        <w:snapToGrid w:val="0"/>
        <w:spacing w:line="360" w:lineRule="auto"/>
        <w:ind w:firstLine="400" w:firstLineChars="200"/>
        <w:rPr>
          <w:rFonts w:hAnsi="宋体"/>
          <w:szCs w:val="21"/>
        </w:rPr>
      </w:pPr>
      <w:r>
        <w:rPr>
          <w:rFonts w:hAnsi="宋体"/>
          <w:szCs w:val="21"/>
        </w:rPr>
        <w:t>3.3.2</w:t>
      </w:r>
      <w:r>
        <w:rPr>
          <w:rFonts w:hint="eastAsia" w:hAnsi="宋体"/>
          <w:szCs w:val="21"/>
        </w:rPr>
        <w:t>投标货币：人民币。</w:t>
      </w:r>
    </w:p>
    <w:p>
      <w:pPr>
        <w:pStyle w:val="22"/>
        <w:tabs>
          <w:tab w:val="left" w:pos="630"/>
        </w:tabs>
        <w:snapToGrid w:val="0"/>
        <w:spacing w:line="360" w:lineRule="auto"/>
        <w:ind w:firstLine="400" w:firstLineChars="200"/>
        <w:rPr>
          <w:rFonts w:hAnsi="宋体"/>
          <w:szCs w:val="21"/>
        </w:rPr>
      </w:pPr>
      <w:r>
        <w:rPr>
          <w:rFonts w:hAnsi="宋体"/>
          <w:szCs w:val="21"/>
        </w:rPr>
        <w:t>3.3.3</w:t>
      </w:r>
      <w:r>
        <w:rPr>
          <w:rFonts w:hint="eastAsia" w:hAnsi="宋体"/>
          <w:szCs w:val="21"/>
        </w:rPr>
        <w:t>招标人设有最高投标限价的，投标人的投标报价不得超过最高投标限价，否则其投标将被否决。最高投标限价或者其计算方法见投标人须知前附表。</w:t>
      </w:r>
    </w:p>
    <w:p>
      <w:pPr>
        <w:pStyle w:val="22"/>
        <w:tabs>
          <w:tab w:val="left" w:pos="630"/>
        </w:tabs>
        <w:snapToGrid w:val="0"/>
        <w:spacing w:line="360" w:lineRule="auto"/>
        <w:ind w:firstLine="400" w:firstLineChars="200"/>
        <w:rPr>
          <w:rFonts w:hAnsi="宋体"/>
          <w:szCs w:val="21"/>
        </w:rPr>
      </w:pPr>
      <w:r>
        <w:rPr>
          <w:rFonts w:hAnsi="宋体"/>
          <w:szCs w:val="21"/>
        </w:rPr>
        <w:t>3.3.4</w:t>
      </w:r>
      <w:r>
        <w:rPr>
          <w:rFonts w:hint="eastAsia" w:hAnsi="宋体"/>
          <w:szCs w:val="21"/>
        </w:rPr>
        <w:t>招标人不接受投标人的任何低于成本报价的不正当竞争方式。</w:t>
      </w:r>
    </w:p>
    <w:p>
      <w:pPr>
        <w:pStyle w:val="22"/>
        <w:tabs>
          <w:tab w:val="left" w:pos="630"/>
        </w:tabs>
        <w:snapToGrid w:val="0"/>
        <w:spacing w:line="360" w:lineRule="auto"/>
        <w:ind w:firstLine="400" w:firstLineChars="200"/>
        <w:rPr>
          <w:rFonts w:hAnsi="宋体"/>
          <w:szCs w:val="21"/>
        </w:rPr>
      </w:pPr>
      <w:r>
        <w:rPr>
          <w:rFonts w:hAnsi="宋体"/>
          <w:szCs w:val="21"/>
        </w:rPr>
        <w:t>3.3.</w:t>
      </w:r>
      <w:r>
        <w:rPr>
          <w:rFonts w:hint="eastAsia" w:hAnsi="宋体"/>
          <w:szCs w:val="21"/>
        </w:rPr>
        <w:t>5投标报价的具体要求见投标人须知前附表。</w:t>
      </w:r>
    </w:p>
    <w:p>
      <w:pPr>
        <w:spacing w:line="360" w:lineRule="auto"/>
        <w:outlineLvl w:val="2"/>
        <w:rPr>
          <w:rFonts w:ascii="宋体"/>
          <w:b/>
        </w:rPr>
      </w:pPr>
      <w:bookmarkStart w:id="212" w:name="_Toc107822500"/>
      <w:bookmarkStart w:id="213" w:name="_Toc8657488"/>
      <w:bookmarkStart w:id="214" w:name="_Toc447188687"/>
      <w:bookmarkStart w:id="215" w:name="_Toc447265237"/>
      <w:bookmarkStart w:id="216" w:name="_Toc27913"/>
      <w:bookmarkStart w:id="217" w:name="_Toc226969296"/>
      <w:bookmarkStart w:id="218" w:name="_Toc227057902"/>
      <w:bookmarkStart w:id="219" w:name="_Toc450489296"/>
      <w:bookmarkStart w:id="220" w:name="_Toc10210434"/>
      <w:bookmarkStart w:id="221" w:name="_Toc447265523"/>
      <w:bookmarkStart w:id="222" w:name="_Toc227057901"/>
      <w:bookmarkStart w:id="223" w:name="_Toc226969295"/>
      <w:bookmarkStart w:id="224" w:name="_Toc107822499"/>
      <w:r>
        <w:rPr>
          <w:rFonts w:ascii="宋体" w:hAnsi="宋体"/>
          <w:b/>
        </w:rPr>
        <w:t>3.4</w:t>
      </w:r>
      <w:r>
        <w:rPr>
          <w:rFonts w:hint="eastAsia" w:ascii="宋体" w:hAnsi="宋体"/>
          <w:b/>
        </w:rPr>
        <w:t>投标有效期</w:t>
      </w:r>
      <w:bookmarkEnd w:id="212"/>
      <w:bookmarkEnd w:id="213"/>
      <w:bookmarkEnd w:id="214"/>
      <w:bookmarkEnd w:id="215"/>
      <w:bookmarkEnd w:id="216"/>
      <w:bookmarkEnd w:id="217"/>
      <w:bookmarkEnd w:id="218"/>
      <w:bookmarkEnd w:id="219"/>
      <w:bookmarkEnd w:id="220"/>
      <w:bookmarkEnd w:id="221"/>
    </w:p>
    <w:p>
      <w:pPr>
        <w:pStyle w:val="22"/>
        <w:tabs>
          <w:tab w:val="left" w:pos="630"/>
        </w:tabs>
        <w:snapToGrid w:val="0"/>
        <w:spacing w:line="360" w:lineRule="auto"/>
        <w:ind w:firstLine="400" w:firstLineChars="200"/>
        <w:rPr>
          <w:rFonts w:hAnsi="宋体"/>
          <w:szCs w:val="21"/>
        </w:rPr>
      </w:pPr>
      <w:r>
        <w:rPr>
          <w:rFonts w:hAnsi="宋体"/>
          <w:szCs w:val="21"/>
        </w:rPr>
        <w:t>3.4.1</w:t>
      </w:r>
      <w:r>
        <w:rPr>
          <w:rFonts w:hint="eastAsia" w:hAnsi="宋体"/>
          <w:szCs w:val="21"/>
        </w:rPr>
        <w:t>投标有效期从递交投标文件截止日起计算。投标有效期的具体时间见投标人须知前附表。在此期间，投标人不得要求撤销或者修改其投标文件。投标有效期不满足招标文件要求的投标将被否决。</w:t>
      </w:r>
    </w:p>
    <w:p>
      <w:pPr>
        <w:pStyle w:val="22"/>
        <w:tabs>
          <w:tab w:val="left" w:pos="630"/>
        </w:tabs>
        <w:snapToGrid w:val="0"/>
        <w:spacing w:line="360" w:lineRule="auto"/>
        <w:ind w:firstLine="400" w:firstLineChars="200"/>
        <w:rPr>
          <w:rFonts w:hAnsi="宋体"/>
          <w:szCs w:val="21"/>
        </w:rPr>
      </w:pPr>
      <w:r>
        <w:rPr>
          <w:rFonts w:hAnsi="宋体"/>
          <w:szCs w:val="21"/>
        </w:rPr>
        <w:t>3.4.2</w:t>
      </w:r>
      <w:r>
        <w:rPr>
          <w:rFonts w:hint="eastAsia" w:hAnsi="宋体"/>
          <w:szCs w:val="21"/>
        </w:rPr>
        <w:t>在原定投标有效期满之前，如果出现特殊情况，招标人决定延长投标有效期的，应当以书面形式向投标人提出延长投标有效期的要求，投标人须以书面形式予以答复。投标人同意延长投标有效期的，不得修改其投标文件的实质性内容。</w:t>
      </w:r>
    </w:p>
    <w:p>
      <w:pPr>
        <w:spacing w:line="360" w:lineRule="auto"/>
        <w:outlineLvl w:val="2"/>
        <w:rPr>
          <w:rFonts w:ascii="宋体"/>
          <w:b/>
        </w:rPr>
      </w:pPr>
      <w:bookmarkStart w:id="225" w:name="_Toc447265524"/>
      <w:bookmarkStart w:id="226" w:name="_Toc8657489"/>
      <w:bookmarkStart w:id="227" w:name="_Toc10210435"/>
      <w:bookmarkStart w:id="228" w:name="_Toc17330"/>
      <w:bookmarkStart w:id="229" w:name="_Toc447188688"/>
      <w:bookmarkStart w:id="230" w:name="_Toc447265238"/>
      <w:bookmarkStart w:id="231" w:name="_Toc450489297"/>
      <w:r>
        <w:rPr>
          <w:rFonts w:ascii="宋体" w:hAnsi="宋体"/>
          <w:b/>
        </w:rPr>
        <w:t>3.5</w:t>
      </w:r>
      <w:r>
        <w:rPr>
          <w:rFonts w:hint="eastAsia" w:ascii="宋体" w:hAnsi="宋体"/>
          <w:b/>
        </w:rPr>
        <w:t>投标保证金</w:t>
      </w:r>
      <w:bookmarkEnd w:id="222"/>
      <w:bookmarkEnd w:id="223"/>
      <w:bookmarkEnd w:id="224"/>
      <w:bookmarkEnd w:id="225"/>
      <w:bookmarkEnd w:id="226"/>
      <w:bookmarkEnd w:id="227"/>
      <w:bookmarkEnd w:id="228"/>
      <w:bookmarkEnd w:id="229"/>
      <w:bookmarkEnd w:id="230"/>
      <w:bookmarkEnd w:id="231"/>
    </w:p>
    <w:p>
      <w:pPr>
        <w:pStyle w:val="22"/>
        <w:tabs>
          <w:tab w:val="left" w:pos="630"/>
        </w:tabs>
        <w:snapToGrid w:val="0"/>
        <w:spacing w:line="360" w:lineRule="auto"/>
        <w:ind w:firstLine="400" w:firstLineChars="200"/>
        <w:rPr>
          <w:rFonts w:hint="eastAsia" w:hAnsi="宋体"/>
          <w:szCs w:val="21"/>
        </w:rPr>
      </w:pPr>
      <w:r>
        <w:rPr>
          <w:rFonts w:hint="eastAsia" w:hAnsi="宋体"/>
          <w:szCs w:val="21"/>
        </w:rPr>
        <w:t>不收取。</w:t>
      </w:r>
    </w:p>
    <w:p>
      <w:pPr>
        <w:spacing w:line="360" w:lineRule="auto"/>
        <w:outlineLvl w:val="2"/>
        <w:rPr>
          <w:rFonts w:ascii="宋体"/>
          <w:b/>
        </w:rPr>
      </w:pPr>
      <w:bookmarkStart w:id="232" w:name="_Toc107822501"/>
      <w:bookmarkStart w:id="233" w:name="_Toc227057904"/>
      <w:bookmarkStart w:id="234" w:name="_Toc226969298"/>
      <w:bookmarkStart w:id="235" w:name="_Toc447265526"/>
      <w:bookmarkStart w:id="236" w:name="_Toc8657491"/>
      <w:bookmarkStart w:id="237" w:name="_Toc447188690"/>
      <w:bookmarkStart w:id="238" w:name="_Toc450489299"/>
      <w:bookmarkStart w:id="239" w:name="_Toc9381"/>
      <w:bookmarkStart w:id="240" w:name="_Toc447265240"/>
      <w:bookmarkStart w:id="241" w:name="_Toc10210437"/>
      <w:r>
        <w:rPr>
          <w:rFonts w:ascii="宋体" w:hAnsi="宋体"/>
          <w:b/>
        </w:rPr>
        <w:t>3.</w:t>
      </w:r>
      <w:r>
        <w:rPr>
          <w:rFonts w:hint="eastAsia" w:ascii="宋体" w:hAnsi="宋体"/>
          <w:b/>
        </w:rPr>
        <w:t>6投标文件的式样</w:t>
      </w:r>
      <w:bookmarkEnd w:id="232"/>
      <w:bookmarkEnd w:id="233"/>
      <w:bookmarkEnd w:id="234"/>
      <w:r>
        <w:rPr>
          <w:rFonts w:hint="eastAsia" w:ascii="宋体" w:hAnsi="宋体"/>
          <w:b/>
        </w:rPr>
        <w:t>、密封和标记</w:t>
      </w:r>
      <w:bookmarkEnd w:id="235"/>
      <w:bookmarkEnd w:id="236"/>
      <w:bookmarkEnd w:id="237"/>
      <w:bookmarkEnd w:id="238"/>
      <w:bookmarkEnd w:id="239"/>
      <w:bookmarkEnd w:id="240"/>
      <w:bookmarkEnd w:id="241"/>
    </w:p>
    <w:p>
      <w:pPr>
        <w:pStyle w:val="22"/>
        <w:tabs>
          <w:tab w:val="left" w:pos="630"/>
        </w:tabs>
        <w:snapToGrid w:val="0"/>
        <w:spacing w:line="360" w:lineRule="auto"/>
        <w:ind w:firstLine="400" w:firstLineChars="200"/>
        <w:rPr>
          <w:rFonts w:hAnsi="宋体"/>
          <w:szCs w:val="21"/>
        </w:rPr>
      </w:pPr>
      <w:r>
        <w:rPr>
          <w:rFonts w:hAnsi="宋体"/>
          <w:szCs w:val="21"/>
        </w:rPr>
        <w:t>3.</w:t>
      </w:r>
      <w:r>
        <w:rPr>
          <w:rFonts w:hint="eastAsia" w:hAnsi="宋体"/>
          <w:szCs w:val="21"/>
        </w:rPr>
        <w:t>6</w:t>
      </w:r>
      <w:r>
        <w:rPr>
          <w:rFonts w:hAnsi="宋体"/>
          <w:szCs w:val="21"/>
        </w:rPr>
        <w:t>.1</w:t>
      </w:r>
      <w:r>
        <w:rPr>
          <w:rFonts w:hint="eastAsia" w:hAnsi="宋体"/>
          <w:szCs w:val="21"/>
        </w:rPr>
        <w:t>投标人应当编制一份投标文件“正本”和投标人须知前附表所述份数的“副本”和“电子版”。投标文件正本和副本如有不一致之处，以正本为准；纸质版文件与电子版文件不一致时，以纸质版文件为准。</w:t>
      </w:r>
    </w:p>
    <w:p>
      <w:pPr>
        <w:pStyle w:val="22"/>
        <w:tabs>
          <w:tab w:val="left" w:pos="630"/>
        </w:tabs>
        <w:snapToGrid w:val="0"/>
        <w:spacing w:line="360" w:lineRule="auto"/>
        <w:ind w:firstLine="400" w:firstLineChars="200"/>
        <w:rPr>
          <w:rFonts w:hAnsi="宋体"/>
          <w:szCs w:val="21"/>
        </w:rPr>
      </w:pPr>
      <w:r>
        <w:rPr>
          <w:rFonts w:hAnsi="宋体"/>
          <w:szCs w:val="21"/>
        </w:rPr>
        <w:t>3.</w:t>
      </w:r>
      <w:r>
        <w:rPr>
          <w:rFonts w:hint="eastAsia" w:hAnsi="宋体"/>
          <w:szCs w:val="21"/>
        </w:rPr>
        <w:t>6</w:t>
      </w:r>
      <w:r>
        <w:rPr>
          <w:rFonts w:hAnsi="宋体"/>
          <w:szCs w:val="21"/>
        </w:rPr>
        <w:t>.2</w:t>
      </w:r>
      <w:r>
        <w:rPr>
          <w:rFonts w:hint="eastAsia" w:hAnsi="宋体"/>
          <w:szCs w:val="21"/>
        </w:rPr>
        <w:t>每份投标文件的正本、副本应当分别胶装装订，并于封面上明确标明“正本”、“副本”字样。</w:t>
      </w:r>
    </w:p>
    <w:p>
      <w:pPr>
        <w:pStyle w:val="22"/>
        <w:tabs>
          <w:tab w:val="left" w:pos="630"/>
        </w:tabs>
        <w:snapToGrid w:val="0"/>
        <w:spacing w:line="360" w:lineRule="auto"/>
        <w:ind w:firstLine="400" w:firstLineChars="200"/>
        <w:rPr>
          <w:rFonts w:hAnsi="宋体"/>
          <w:szCs w:val="21"/>
        </w:rPr>
      </w:pPr>
      <w:r>
        <w:rPr>
          <w:rFonts w:hAnsi="宋体"/>
          <w:szCs w:val="21"/>
        </w:rPr>
        <w:t>3.</w:t>
      </w:r>
      <w:r>
        <w:rPr>
          <w:rFonts w:hint="eastAsia" w:hAnsi="宋体"/>
          <w:szCs w:val="21"/>
        </w:rPr>
        <w:t>6</w:t>
      </w:r>
      <w:r>
        <w:rPr>
          <w:rFonts w:hAnsi="宋体"/>
          <w:szCs w:val="21"/>
        </w:rPr>
        <w:t>.3</w:t>
      </w:r>
      <w:r>
        <w:rPr>
          <w:rFonts w:hint="eastAsia" w:hAnsi="宋体"/>
          <w:szCs w:val="21"/>
        </w:rPr>
        <w:t>投标文件应当按照投标人须知前附表规定密封包装，并在封套的封口处应加盖“密封”章或“单位公章”。</w:t>
      </w:r>
    </w:p>
    <w:p>
      <w:pPr>
        <w:pStyle w:val="22"/>
        <w:tabs>
          <w:tab w:val="left" w:pos="630"/>
        </w:tabs>
        <w:snapToGrid w:val="0"/>
        <w:spacing w:line="360" w:lineRule="auto"/>
        <w:ind w:firstLine="400" w:firstLineChars="200"/>
        <w:rPr>
          <w:rFonts w:hAnsi="宋体"/>
          <w:szCs w:val="21"/>
        </w:rPr>
      </w:pPr>
      <w:r>
        <w:rPr>
          <w:rFonts w:hAnsi="宋体"/>
          <w:szCs w:val="21"/>
        </w:rPr>
        <w:t>3.</w:t>
      </w:r>
      <w:r>
        <w:rPr>
          <w:rFonts w:hint="eastAsia" w:hAnsi="宋体"/>
          <w:szCs w:val="21"/>
        </w:rPr>
        <w:t>6</w:t>
      </w:r>
      <w:r>
        <w:rPr>
          <w:rFonts w:hAnsi="宋体"/>
          <w:szCs w:val="21"/>
        </w:rPr>
        <w:t>.4</w:t>
      </w:r>
      <w:r>
        <w:rPr>
          <w:rFonts w:hint="eastAsia" w:hAnsi="宋体"/>
          <w:szCs w:val="21"/>
        </w:rPr>
        <w:t>投标文件外封套上应写明的内容见投标人须知前附表。</w:t>
      </w:r>
    </w:p>
    <w:p>
      <w:pPr>
        <w:pStyle w:val="22"/>
        <w:tabs>
          <w:tab w:val="left" w:pos="630"/>
        </w:tabs>
        <w:snapToGrid w:val="0"/>
        <w:spacing w:line="360" w:lineRule="auto"/>
        <w:ind w:firstLine="400" w:firstLineChars="200"/>
        <w:rPr>
          <w:rFonts w:hAnsi="宋体"/>
          <w:szCs w:val="21"/>
        </w:rPr>
      </w:pPr>
      <w:r>
        <w:rPr>
          <w:rFonts w:hAnsi="宋体"/>
          <w:szCs w:val="21"/>
        </w:rPr>
        <w:t>3.</w:t>
      </w:r>
      <w:r>
        <w:rPr>
          <w:rFonts w:hint="eastAsia" w:hAnsi="宋体"/>
          <w:szCs w:val="21"/>
        </w:rPr>
        <w:t>6</w:t>
      </w:r>
      <w:r>
        <w:rPr>
          <w:rFonts w:hAnsi="宋体"/>
          <w:szCs w:val="21"/>
        </w:rPr>
        <w:t>.5</w:t>
      </w:r>
      <w:r>
        <w:rPr>
          <w:rFonts w:hint="eastAsia" w:hAnsi="宋体"/>
          <w:szCs w:val="21"/>
        </w:rPr>
        <w:t>递交投标文件时，如果未按照上述规定进行密封和标记，招标人对投标文件的提前拆封概不负责，且未按照要求密封和加写标记的投标文件，招标人不予受理。</w:t>
      </w:r>
    </w:p>
    <w:p>
      <w:pPr>
        <w:spacing w:line="360" w:lineRule="auto"/>
        <w:outlineLvl w:val="1"/>
        <w:rPr>
          <w:rFonts w:ascii="宋体"/>
          <w:b/>
        </w:rPr>
      </w:pPr>
      <w:bookmarkStart w:id="242" w:name="_Toc30901"/>
      <w:bookmarkStart w:id="243" w:name="_Toc8657492"/>
      <w:bookmarkStart w:id="244" w:name="_Toc10210438"/>
      <w:r>
        <w:rPr>
          <w:rFonts w:ascii="宋体" w:hAnsi="宋体"/>
          <w:b/>
        </w:rPr>
        <w:t>4.</w:t>
      </w:r>
      <w:r>
        <w:rPr>
          <w:rFonts w:hint="eastAsia" w:ascii="宋体" w:hAnsi="宋体"/>
          <w:b/>
        </w:rPr>
        <w:t>投标</w:t>
      </w:r>
      <w:bookmarkEnd w:id="188"/>
      <w:bookmarkEnd w:id="189"/>
      <w:bookmarkEnd w:id="190"/>
      <w:bookmarkEnd w:id="242"/>
      <w:bookmarkEnd w:id="243"/>
      <w:bookmarkEnd w:id="244"/>
    </w:p>
    <w:p>
      <w:pPr>
        <w:spacing w:line="360" w:lineRule="auto"/>
        <w:outlineLvl w:val="2"/>
        <w:rPr>
          <w:rFonts w:ascii="宋体"/>
          <w:b/>
        </w:rPr>
      </w:pPr>
      <w:bookmarkStart w:id="245" w:name="_Toc10210439"/>
      <w:bookmarkStart w:id="246" w:name="_Toc447265243"/>
      <w:bookmarkStart w:id="247" w:name="_Toc8657493"/>
      <w:bookmarkStart w:id="248" w:name="_Toc26303"/>
      <w:bookmarkStart w:id="249" w:name="_Toc447188692"/>
      <w:bookmarkStart w:id="250" w:name="_Toc447265529"/>
      <w:r>
        <w:rPr>
          <w:rFonts w:ascii="宋体" w:hAnsi="宋体"/>
          <w:b/>
        </w:rPr>
        <w:t>4.1</w:t>
      </w:r>
      <w:r>
        <w:rPr>
          <w:rFonts w:hint="eastAsia" w:ascii="宋体" w:hAnsi="宋体"/>
          <w:b/>
        </w:rPr>
        <w:t>投标</w:t>
      </w:r>
      <w:bookmarkEnd w:id="191"/>
      <w:bookmarkEnd w:id="192"/>
      <w:r>
        <w:rPr>
          <w:rFonts w:hint="eastAsia" w:ascii="宋体" w:hAnsi="宋体"/>
          <w:b/>
        </w:rPr>
        <w:t>文件的递交</w:t>
      </w:r>
      <w:bookmarkEnd w:id="193"/>
      <w:bookmarkEnd w:id="194"/>
      <w:bookmarkEnd w:id="245"/>
      <w:bookmarkEnd w:id="246"/>
      <w:bookmarkEnd w:id="247"/>
      <w:bookmarkEnd w:id="248"/>
      <w:bookmarkEnd w:id="249"/>
      <w:bookmarkEnd w:id="250"/>
    </w:p>
    <w:p>
      <w:pPr>
        <w:pStyle w:val="22"/>
        <w:tabs>
          <w:tab w:val="left" w:pos="630"/>
        </w:tabs>
        <w:snapToGrid w:val="0"/>
        <w:spacing w:line="360" w:lineRule="auto"/>
        <w:ind w:firstLine="400" w:firstLineChars="200"/>
        <w:rPr>
          <w:rFonts w:hAnsi="宋体"/>
          <w:szCs w:val="21"/>
        </w:rPr>
      </w:pPr>
      <w:bookmarkStart w:id="251" w:name="_Toc488655849"/>
      <w:bookmarkStart w:id="252" w:name="_Toc107822504"/>
      <w:bookmarkStart w:id="253" w:name="_Toc488655850"/>
      <w:bookmarkStart w:id="254" w:name="_Toc226969301"/>
      <w:bookmarkStart w:id="255" w:name="_Toc107822505"/>
      <w:bookmarkStart w:id="256" w:name="_Toc227057907"/>
      <w:bookmarkStart w:id="257" w:name="_Toc447265244"/>
      <w:bookmarkStart w:id="258" w:name="_Toc447188693"/>
      <w:bookmarkStart w:id="259" w:name="_Toc447265530"/>
      <w:r>
        <w:rPr>
          <w:rFonts w:hAnsi="宋体"/>
          <w:szCs w:val="21"/>
        </w:rPr>
        <w:t>4.1.1</w:t>
      </w:r>
      <w:r>
        <w:rPr>
          <w:rFonts w:hint="eastAsia" w:hAnsi="宋体"/>
          <w:szCs w:val="21"/>
        </w:rPr>
        <w:t>投标文件递交截止时间：见投标人须知前附表。</w:t>
      </w:r>
    </w:p>
    <w:p>
      <w:pPr>
        <w:pStyle w:val="22"/>
        <w:tabs>
          <w:tab w:val="left" w:pos="630"/>
        </w:tabs>
        <w:snapToGrid w:val="0"/>
        <w:spacing w:line="360" w:lineRule="auto"/>
        <w:ind w:firstLine="400" w:firstLineChars="200"/>
        <w:rPr>
          <w:rFonts w:hAnsi="宋体"/>
          <w:szCs w:val="21"/>
        </w:rPr>
      </w:pPr>
      <w:r>
        <w:rPr>
          <w:rFonts w:hAnsi="宋体"/>
          <w:szCs w:val="21"/>
        </w:rPr>
        <w:t>4.1.2</w:t>
      </w:r>
      <w:r>
        <w:rPr>
          <w:rFonts w:hint="eastAsia" w:hAnsi="宋体"/>
          <w:szCs w:val="21"/>
        </w:rPr>
        <w:t>投标文件递交地点：见投标人须知前附表。</w:t>
      </w:r>
    </w:p>
    <w:p>
      <w:pPr>
        <w:pStyle w:val="22"/>
        <w:tabs>
          <w:tab w:val="left" w:pos="630"/>
        </w:tabs>
        <w:snapToGrid w:val="0"/>
        <w:spacing w:line="360" w:lineRule="auto"/>
        <w:ind w:firstLine="400" w:firstLineChars="200"/>
        <w:rPr>
          <w:rFonts w:hAnsi="宋体"/>
          <w:szCs w:val="21"/>
        </w:rPr>
      </w:pPr>
      <w:r>
        <w:rPr>
          <w:rFonts w:hAnsi="宋体"/>
          <w:szCs w:val="21"/>
        </w:rPr>
        <w:t>4.1.3</w:t>
      </w:r>
      <w:r>
        <w:rPr>
          <w:rFonts w:hint="eastAsia" w:hAnsi="宋体"/>
          <w:szCs w:val="21"/>
        </w:rPr>
        <w:t>除投标人须知前附表另有规定外，投标人所递交的投标文件不予退还。</w:t>
      </w:r>
    </w:p>
    <w:p>
      <w:pPr>
        <w:pStyle w:val="22"/>
        <w:tabs>
          <w:tab w:val="left" w:pos="630"/>
        </w:tabs>
        <w:snapToGrid w:val="0"/>
        <w:spacing w:line="360" w:lineRule="auto"/>
        <w:ind w:firstLine="400" w:firstLineChars="200"/>
        <w:rPr>
          <w:rFonts w:hAnsi="宋体"/>
          <w:szCs w:val="21"/>
        </w:rPr>
      </w:pPr>
      <w:r>
        <w:rPr>
          <w:rFonts w:hAnsi="宋体"/>
          <w:szCs w:val="21"/>
        </w:rPr>
        <w:t>4.1.4</w:t>
      </w:r>
      <w:r>
        <w:rPr>
          <w:rFonts w:hint="eastAsia" w:hAnsi="宋体"/>
          <w:szCs w:val="21"/>
        </w:rPr>
        <w:t>出现以下情形时，招标人不予接收投标文件：</w:t>
      </w:r>
    </w:p>
    <w:p>
      <w:pPr>
        <w:pStyle w:val="22"/>
        <w:tabs>
          <w:tab w:val="left" w:pos="630"/>
        </w:tabs>
        <w:snapToGrid w:val="0"/>
        <w:spacing w:line="360" w:lineRule="auto"/>
        <w:ind w:firstLine="400" w:firstLineChars="200"/>
        <w:rPr>
          <w:rFonts w:hAnsi="宋体"/>
          <w:szCs w:val="21"/>
        </w:rPr>
      </w:pPr>
      <w:r>
        <w:rPr>
          <w:rFonts w:hint="eastAsia" w:hAnsi="宋体"/>
          <w:szCs w:val="21"/>
        </w:rPr>
        <w:t>（</w:t>
      </w:r>
      <w:r>
        <w:rPr>
          <w:rFonts w:hAnsi="宋体"/>
          <w:szCs w:val="21"/>
        </w:rPr>
        <w:t>1</w:t>
      </w:r>
      <w:r>
        <w:rPr>
          <w:rFonts w:hint="eastAsia" w:hAnsi="宋体"/>
          <w:szCs w:val="21"/>
        </w:rPr>
        <w:t>）逾期送达或者未送达指定地点的；</w:t>
      </w:r>
    </w:p>
    <w:p>
      <w:pPr>
        <w:pStyle w:val="22"/>
        <w:tabs>
          <w:tab w:val="left" w:pos="630"/>
        </w:tabs>
        <w:snapToGrid w:val="0"/>
        <w:spacing w:line="360" w:lineRule="auto"/>
        <w:ind w:firstLine="400" w:firstLineChars="200"/>
        <w:rPr>
          <w:rFonts w:hAnsi="宋体"/>
          <w:szCs w:val="21"/>
        </w:rPr>
      </w:pPr>
      <w:r>
        <w:rPr>
          <w:rFonts w:hint="eastAsia" w:hAnsi="宋体"/>
          <w:szCs w:val="21"/>
        </w:rPr>
        <w:t>（</w:t>
      </w:r>
      <w:r>
        <w:rPr>
          <w:rFonts w:hAnsi="宋体"/>
          <w:szCs w:val="21"/>
        </w:rPr>
        <w:t>2</w:t>
      </w:r>
      <w:r>
        <w:rPr>
          <w:rFonts w:hint="eastAsia" w:hAnsi="宋体"/>
          <w:szCs w:val="21"/>
        </w:rPr>
        <w:t>）未按照招标文件要求密封的；</w:t>
      </w:r>
    </w:p>
    <w:p>
      <w:pPr>
        <w:pStyle w:val="22"/>
        <w:tabs>
          <w:tab w:val="left" w:pos="630"/>
        </w:tabs>
        <w:snapToGrid w:val="0"/>
        <w:spacing w:line="360" w:lineRule="auto"/>
        <w:ind w:firstLine="400" w:firstLineChars="200"/>
        <w:rPr>
          <w:rFonts w:hAnsi="宋体"/>
          <w:szCs w:val="21"/>
        </w:rPr>
      </w:pPr>
      <w:r>
        <w:rPr>
          <w:rFonts w:hint="eastAsia" w:hAnsi="宋体"/>
          <w:szCs w:val="21"/>
        </w:rPr>
        <w:t>（</w:t>
      </w:r>
      <w:r>
        <w:rPr>
          <w:rFonts w:hAnsi="宋体"/>
          <w:szCs w:val="21"/>
        </w:rPr>
        <w:t>3</w:t>
      </w:r>
      <w:r>
        <w:rPr>
          <w:rFonts w:hint="eastAsia" w:hAnsi="宋体"/>
          <w:szCs w:val="21"/>
        </w:rPr>
        <w:t>）委托代理人开标现场不能出示《法定代表人授权委托书》及代理人身份证原件的；</w:t>
      </w:r>
    </w:p>
    <w:p>
      <w:pPr>
        <w:pStyle w:val="22"/>
        <w:tabs>
          <w:tab w:val="left" w:pos="630"/>
        </w:tabs>
        <w:snapToGrid w:val="0"/>
        <w:spacing w:line="360" w:lineRule="auto"/>
        <w:ind w:firstLine="400" w:firstLineChars="200"/>
        <w:rPr>
          <w:rFonts w:hAnsi="宋体"/>
          <w:szCs w:val="21"/>
        </w:rPr>
      </w:pPr>
      <w:r>
        <w:rPr>
          <w:rFonts w:hint="eastAsia" w:hAnsi="宋体"/>
          <w:szCs w:val="21"/>
        </w:rPr>
        <w:t>（</w:t>
      </w:r>
      <w:r>
        <w:rPr>
          <w:rFonts w:hAnsi="宋体"/>
          <w:szCs w:val="21"/>
        </w:rPr>
        <w:t>4</w:t>
      </w:r>
      <w:r>
        <w:rPr>
          <w:rFonts w:hint="eastAsia" w:hAnsi="宋体"/>
          <w:szCs w:val="21"/>
        </w:rPr>
        <w:t>）法定代表人开标现场不能出示《法定代表人身份证明》及身份证原件的；</w:t>
      </w:r>
    </w:p>
    <w:p>
      <w:pPr>
        <w:pStyle w:val="22"/>
        <w:tabs>
          <w:tab w:val="left" w:pos="630"/>
        </w:tabs>
        <w:snapToGrid w:val="0"/>
        <w:spacing w:line="360" w:lineRule="auto"/>
        <w:ind w:firstLine="400" w:firstLineChars="200"/>
        <w:rPr>
          <w:rFonts w:hAnsi="宋体"/>
          <w:szCs w:val="21"/>
        </w:rPr>
      </w:pPr>
      <w:r>
        <w:rPr>
          <w:rFonts w:hint="eastAsia" w:hAnsi="宋体"/>
          <w:szCs w:val="21"/>
        </w:rPr>
        <w:t>（</w:t>
      </w:r>
      <w:r>
        <w:rPr>
          <w:rFonts w:hAnsi="宋体"/>
          <w:szCs w:val="21"/>
        </w:rPr>
        <w:t>5</w:t>
      </w:r>
      <w:r>
        <w:rPr>
          <w:rFonts w:hint="eastAsia" w:hAnsi="宋体"/>
          <w:szCs w:val="21"/>
        </w:rPr>
        <w:t>）未按照第一章“招标公告”要求获得本项目招标文件的。</w:t>
      </w:r>
    </w:p>
    <w:p>
      <w:pPr>
        <w:pStyle w:val="22"/>
        <w:tabs>
          <w:tab w:val="left" w:pos="630"/>
        </w:tabs>
        <w:snapToGrid w:val="0"/>
        <w:spacing w:line="360" w:lineRule="auto"/>
        <w:ind w:firstLine="400" w:firstLineChars="200"/>
        <w:rPr>
          <w:rFonts w:hAnsi="宋体"/>
          <w:szCs w:val="21"/>
        </w:rPr>
      </w:pPr>
      <w:r>
        <w:rPr>
          <w:rFonts w:hAnsi="宋体"/>
          <w:szCs w:val="21"/>
        </w:rPr>
        <w:t>4.1.5</w:t>
      </w:r>
      <w:r>
        <w:rPr>
          <w:rFonts w:hint="eastAsia" w:hAnsi="宋体"/>
          <w:szCs w:val="21"/>
        </w:rPr>
        <w:t>到投标文件递交截止时间止，招标人收到的投标文件少于</w:t>
      </w:r>
      <w:r>
        <w:rPr>
          <w:rFonts w:hAnsi="宋体"/>
          <w:szCs w:val="21"/>
        </w:rPr>
        <w:t>3</w:t>
      </w:r>
      <w:r>
        <w:rPr>
          <w:rFonts w:hint="eastAsia" w:hAnsi="宋体"/>
          <w:szCs w:val="21"/>
        </w:rPr>
        <w:t>个的，招标人将依法</w:t>
      </w:r>
      <w:r>
        <w:rPr>
          <w:rFonts w:hint="eastAsia" w:hAnsi="宋体" w:cs="宋体"/>
          <w:szCs w:val="21"/>
        </w:rPr>
        <w:t>重新组织招标。</w:t>
      </w:r>
    </w:p>
    <w:bookmarkEnd w:id="251"/>
    <w:bookmarkEnd w:id="252"/>
    <w:p>
      <w:pPr>
        <w:spacing w:line="360" w:lineRule="auto"/>
        <w:outlineLvl w:val="2"/>
        <w:rPr>
          <w:rFonts w:ascii="宋体"/>
          <w:b/>
        </w:rPr>
      </w:pPr>
      <w:bookmarkStart w:id="260" w:name="_Toc8657494"/>
      <w:bookmarkStart w:id="261" w:name="_Toc10210440"/>
      <w:bookmarkStart w:id="262" w:name="_Toc12576"/>
      <w:r>
        <w:rPr>
          <w:rFonts w:ascii="宋体" w:hAnsi="宋体"/>
          <w:b/>
        </w:rPr>
        <w:t>4.2</w:t>
      </w:r>
      <w:r>
        <w:rPr>
          <w:rFonts w:hint="eastAsia" w:ascii="宋体" w:hAnsi="宋体"/>
          <w:b/>
        </w:rPr>
        <w:t>投标文件的修改、撤回</w:t>
      </w:r>
      <w:bookmarkEnd w:id="253"/>
      <w:bookmarkEnd w:id="254"/>
      <w:bookmarkEnd w:id="255"/>
      <w:bookmarkEnd w:id="256"/>
      <w:r>
        <w:rPr>
          <w:rFonts w:hint="eastAsia" w:ascii="宋体" w:hAnsi="宋体"/>
          <w:b/>
        </w:rPr>
        <w:t>和撤销</w:t>
      </w:r>
      <w:bookmarkEnd w:id="257"/>
      <w:bookmarkEnd w:id="258"/>
      <w:bookmarkEnd w:id="259"/>
      <w:bookmarkEnd w:id="260"/>
      <w:bookmarkEnd w:id="261"/>
      <w:bookmarkEnd w:id="262"/>
    </w:p>
    <w:p>
      <w:pPr>
        <w:pStyle w:val="22"/>
        <w:tabs>
          <w:tab w:val="left" w:pos="630"/>
        </w:tabs>
        <w:snapToGrid w:val="0"/>
        <w:spacing w:line="360" w:lineRule="auto"/>
        <w:ind w:firstLine="400" w:firstLineChars="200"/>
        <w:rPr>
          <w:rFonts w:hAnsi="宋体"/>
          <w:szCs w:val="21"/>
        </w:rPr>
      </w:pPr>
      <w:bookmarkStart w:id="263" w:name="_Toc447188694"/>
      <w:bookmarkStart w:id="264" w:name="_Toc247085717"/>
      <w:bookmarkStart w:id="265" w:name="_Toc152045559"/>
      <w:bookmarkStart w:id="266" w:name="_Toc246996203"/>
      <w:bookmarkStart w:id="267" w:name="_Toc447265531"/>
      <w:bookmarkStart w:id="268" w:name="_Toc447265245"/>
      <w:bookmarkStart w:id="269" w:name="_Toc296602447"/>
      <w:bookmarkStart w:id="270" w:name="_Toc179632577"/>
      <w:bookmarkStart w:id="271" w:name="_Toc152042335"/>
      <w:bookmarkStart w:id="272" w:name="_Toc246996946"/>
      <w:bookmarkStart w:id="273" w:name="_Toc144974527"/>
      <w:bookmarkStart w:id="274" w:name="_Toc488655852"/>
      <w:bookmarkStart w:id="275" w:name="_Toc107822506"/>
      <w:bookmarkStart w:id="276" w:name="_Toc226969302"/>
      <w:bookmarkStart w:id="277" w:name="_Toc227057908"/>
      <w:r>
        <w:rPr>
          <w:rFonts w:hAnsi="宋体"/>
          <w:szCs w:val="21"/>
        </w:rPr>
        <w:t>4.2.1</w:t>
      </w:r>
      <w:r>
        <w:rPr>
          <w:rFonts w:hint="eastAsia" w:hAnsi="宋体"/>
          <w:szCs w:val="21"/>
        </w:rPr>
        <w:t>在规定的投标截止时间前，投标人可以修改或者撤回已递交的投标文件。</w:t>
      </w:r>
    </w:p>
    <w:p>
      <w:pPr>
        <w:pStyle w:val="22"/>
        <w:tabs>
          <w:tab w:val="left" w:pos="630"/>
        </w:tabs>
        <w:snapToGrid w:val="0"/>
        <w:spacing w:line="360" w:lineRule="auto"/>
        <w:ind w:firstLine="400" w:firstLineChars="200"/>
        <w:rPr>
          <w:rFonts w:hAnsi="宋体"/>
          <w:szCs w:val="21"/>
        </w:rPr>
      </w:pPr>
      <w:r>
        <w:rPr>
          <w:rFonts w:hAnsi="宋体"/>
          <w:szCs w:val="21"/>
        </w:rPr>
        <w:t>4.2.2</w:t>
      </w:r>
      <w:r>
        <w:rPr>
          <w:rFonts w:hint="eastAsia" w:hAnsi="宋体"/>
          <w:szCs w:val="21"/>
        </w:rPr>
        <w:t>投标人修改后的投标文件，应当在规定的投标截止时间前按照招标文件的规定编制、密封、标记、递交。</w:t>
      </w:r>
    </w:p>
    <w:p>
      <w:pPr>
        <w:pStyle w:val="22"/>
        <w:tabs>
          <w:tab w:val="left" w:pos="630"/>
        </w:tabs>
        <w:snapToGrid w:val="0"/>
        <w:spacing w:line="360" w:lineRule="auto"/>
        <w:ind w:firstLine="400" w:firstLineChars="200"/>
        <w:rPr>
          <w:rFonts w:hAnsi="宋体"/>
          <w:szCs w:val="21"/>
        </w:rPr>
      </w:pPr>
      <w:r>
        <w:rPr>
          <w:rFonts w:hAnsi="宋体"/>
          <w:szCs w:val="21"/>
        </w:rPr>
        <w:t>4.2.3</w:t>
      </w:r>
      <w:r>
        <w:rPr>
          <w:rFonts w:hint="eastAsia" w:hAnsi="宋体"/>
          <w:szCs w:val="21"/>
        </w:rPr>
        <w:t>投标人撤回已递交的投标文件，应当书面通知招标人。</w:t>
      </w:r>
    </w:p>
    <w:p>
      <w:pPr>
        <w:pStyle w:val="22"/>
        <w:tabs>
          <w:tab w:val="left" w:pos="630"/>
        </w:tabs>
        <w:snapToGrid w:val="0"/>
        <w:spacing w:line="360" w:lineRule="auto"/>
        <w:ind w:firstLine="400" w:firstLineChars="200"/>
        <w:rPr>
          <w:rFonts w:hAnsi="宋体"/>
          <w:szCs w:val="21"/>
        </w:rPr>
      </w:pPr>
      <w:r>
        <w:rPr>
          <w:rFonts w:hAnsi="宋体"/>
          <w:szCs w:val="21"/>
        </w:rPr>
        <w:t>4.2.4</w:t>
      </w:r>
      <w:r>
        <w:rPr>
          <w:rFonts w:hint="eastAsia" w:hAnsi="宋体"/>
          <w:szCs w:val="21"/>
        </w:rPr>
        <w:t>投标人在规定的投标截止时间后，不得在投标有效期内撤销其投标。</w:t>
      </w:r>
    </w:p>
    <w:p>
      <w:pPr>
        <w:spacing w:line="360" w:lineRule="auto"/>
        <w:outlineLvl w:val="1"/>
        <w:rPr>
          <w:rFonts w:ascii="宋体"/>
          <w:b/>
        </w:rPr>
      </w:pPr>
      <w:bookmarkStart w:id="278" w:name="_Toc10210441"/>
      <w:bookmarkStart w:id="279" w:name="_Toc8657495"/>
      <w:bookmarkStart w:id="280" w:name="_Toc23281"/>
      <w:r>
        <w:rPr>
          <w:rFonts w:ascii="宋体" w:hAnsi="宋体"/>
          <w:b/>
        </w:rPr>
        <w:t>5.</w:t>
      </w:r>
      <w:r>
        <w:rPr>
          <w:rFonts w:hint="eastAsia" w:ascii="宋体" w:hAnsi="宋体"/>
          <w:b/>
        </w:rPr>
        <w:t>开标</w:t>
      </w:r>
      <w:bookmarkEnd w:id="263"/>
      <w:bookmarkEnd w:id="264"/>
      <w:bookmarkEnd w:id="265"/>
      <w:bookmarkEnd w:id="266"/>
      <w:bookmarkEnd w:id="267"/>
      <w:bookmarkEnd w:id="268"/>
      <w:bookmarkEnd w:id="269"/>
      <w:bookmarkEnd w:id="270"/>
      <w:bookmarkEnd w:id="271"/>
      <w:bookmarkEnd w:id="272"/>
      <w:bookmarkEnd w:id="273"/>
      <w:bookmarkEnd w:id="278"/>
      <w:bookmarkEnd w:id="279"/>
      <w:bookmarkEnd w:id="280"/>
    </w:p>
    <w:p>
      <w:pPr>
        <w:spacing w:line="360" w:lineRule="auto"/>
        <w:outlineLvl w:val="2"/>
        <w:rPr>
          <w:rFonts w:ascii="宋体"/>
          <w:b/>
        </w:rPr>
      </w:pPr>
      <w:bookmarkStart w:id="281" w:name="_Toc447188695"/>
      <w:bookmarkStart w:id="282" w:name="_Toc447265246"/>
      <w:bookmarkStart w:id="283" w:name="_Toc10210442"/>
      <w:bookmarkStart w:id="284" w:name="_Toc12116"/>
      <w:bookmarkStart w:id="285" w:name="_Toc8657496"/>
      <w:bookmarkStart w:id="286" w:name="_Toc447265532"/>
      <w:r>
        <w:rPr>
          <w:rFonts w:ascii="宋体" w:hAnsi="宋体"/>
          <w:b/>
        </w:rPr>
        <w:t>5.1</w:t>
      </w:r>
      <w:r>
        <w:rPr>
          <w:rFonts w:hint="eastAsia" w:ascii="宋体" w:hAnsi="宋体"/>
          <w:b/>
        </w:rPr>
        <w:t>开标</w:t>
      </w:r>
      <w:bookmarkEnd w:id="274"/>
      <w:bookmarkEnd w:id="275"/>
      <w:bookmarkEnd w:id="276"/>
      <w:bookmarkEnd w:id="277"/>
      <w:r>
        <w:rPr>
          <w:rFonts w:hint="eastAsia" w:ascii="宋体" w:hAnsi="宋体"/>
          <w:b/>
        </w:rPr>
        <w:t>时间和地点</w:t>
      </w:r>
      <w:bookmarkEnd w:id="281"/>
      <w:bookmarkEnd w:id="282"/>
      <w:bookmarkEnd w:id="283"/>
      <w:bookmarkEnd w:id="284"/>
      <w:bookmarkEnd w:id="285"/>
      <w:bookmarkEnd w:id="286"/>
    </w:p>
    <w:p>
      <w:pPr>
        <w:pStyle w:val="22"/>
        <w:tabs>
          <w:tab w:val="left" w:pos="630"/>
        </w:tabs>
        <w:snapToGrid w:val="0"/>
        <w:spacing w:line="360" w:lineRule="auto"/>
        <w:ind w:firstLine="400" w:firstLineChars="200"/>
        <w:rPr>
          <w:rFonts w:hAnsi="宋体"/>
          <w:szCs w:val="21"/>
        </w:rPr>
      </w:pPr>
      <w:r>
        <w:rPr>
          <w:rFonts w:hint="eastAsia" w:hAnsi="宋体"/>
          <w:szCs w:val="21"/>
        </w:rPr>
        <w:t>招标人将按照投标人须知前附表规定的时间和地点公开开标，参加开标的投标人代表应当签名报到，以证明其出席开标。开标时间和投标截止时间应当为同一时间。</w:t>
      </w:r>
    </w:p>
    <w:p>
      <w:pPr>
        <w:spacing w:line="360" w:lineRule="auto"/>
        <w:outlineLvl w:val="2"/>
        <w:rPr>
          <w:rFonts w:ascii="宋体"/>
          <w:b/>
        </w:rPr>
      </w:pPr>
      <w:bookmarkStart w:id="287" w:name="_Toc447265247"/>
      <w:bookmarkStart w:id="288" w:name="_Toc10210443"/>
      <w:bookmarkStart w:id="289" w:name="_Toc8657497"/>
      <w:bookmarkStart w:id="290" w:name="_Toc447188696"/>
      <w:bookmarkStart w:id="291" w:name="_Toc447265533"/>
      <w:bookmarkStart w:id="292" w:name="_Toc13976"/>
      <w:r>
        <w:rPr>
          <w:rFonts w:ascii="宋体" w:hAnsi="宋体"/>
          <w:b/>
        </w:rPr>
        <w:t>5.2</w:t>
      </w:r>
      <w:r>
        <w:rPr>
          <w:rFonts w:hint="eastAsia" w:ascii="宋体" w:hAnsi="宋体"/>
          <w:b/>
        </w:rPr>
        <w:t>开标程序</w:t>
      </w:r>
      <w:bookmarkEnd w:id="287"/>
      <w:bookmarkEnd w:id="288"/>
      <w:bookmarkEnd w:id="289"/>
      <w:bookmarkEnd w:id="290"/>
      <w:bookmarkEnd w:id="291"/>
      <w:bookmarkEnd w:id="292"/>
    </w:p>
    <w:p>
      <w:pPr>
        <w:pStyle w:val="22"/>
        <w:tabs>
          <w:tab w:val="left" w:pos="630"/>
        </w:tabs>
        <w:snapToGrid w:val="0"/>
        <w:spacing w:line="360" w:lineRule="auto"/>
        <w:ind w:firstLine="400" w:firstLineChars="200"/>
        <w:rPr>
          <w:rFonts w:hAnsi="宋体"/>
          <w:szCs w:val="21"/>
        </w:rPr>
      </w:pPr>
      <w:bookmarkStart w:id="293" w:name="_Toc296602451"/>
      <w:bookmarkStart w:id="294" w:name="_Toc447265250"/>
      <w:bookmarkStart w:id="295" w:name="_Toc246996206"/>
      <w:bookmarkStart w:id="296" w:name="_Toc152045562"/>
      <w:bookmarkStart w:id="297" w:name="_Toc179632580"/>
      <w:bookmarkStart w:id="298" w:name="_Toc247085720"/>
      <w:bookmarkStart w:id="299" w:name="_Toc246996949"/>
      <w:bookmarkStart w:id="300" w:name="_Toc447265536"/>
      <w:bookmarkStart w:id="301" w:name="_Toc144974530"/>
      <w:bookmarkStart w:id="302" w:name="_Toc447188699"/>
      <w:bookmarkStart w:id="303" w:name="_Toc152042338"/>
      <w:bookmarkStart w:id="304" w:name="_Toc227057909"/>
      <w:bookmarkStart w:id="305" w:name="_Toc226969303"/>
      <w:bookmarkStart w:id="306" w:name="_Toc107822507"/>
      <w:r>
        <w:rPr>
          <w:rFonts w:hAnsi="宋体"/>
          <w:szCs w:val="21"/>
        </w:rPr>
        <w:t>5.2.1</w:t>
      </w:r>
      <w:r>
        <w:rPr>
          <w:rFonts w:hint="eastAsia" w:hAnsi="宋体"/>
          <w:szCs w:val="21"/>
        </w:rPr>
        <w:t>开标会议由招标人组织并主持，邀请所有的投标人或者其代表出席。投标人代表对投标文件密封性进行检查，同时由监标人检查投标人授权委托代理人《法定代表人授权委托书》及身份证。</w:t>
      </w:r>
    </w:p>
    <w:p>
      <w:pPr>
        <w:pStyle w:val="22"/>
        <w:tabs>
          <w:tab w:val="left" w:pos="630"/>
        </w:tabs>
        <w:snapToGrid w:val="0"/>
        <w:spacing w:line="360" w:lineRule="auto"/>
        <w:ind w:firstLine="400" w:firstLineChars="200"/>
        <w:rPr>
          <w:rFonts w:hAnsi="宋体"/>
          <w:szCs w:val="21"/>
        </w:rPr>
      </w:pPr>
      <w:r>
        <w:rPr>
          <w:rFonts w:hAnsi="宋体"/>
          <w:szCs w:val="21"/>
        </w:rPr>
        <w:t>5.2.2</w:t>
      </w:r>
      <w:r>
        <w:rPr>
          <w:rFonts w:hint="eastAsia" w:hAnsi="宋体"/>
          <w:szCs w:val="21"/>
        </w:rPr>
        <w:t>招标人在投标文件递交截止时间前收到的所有投标文件在开标时都应当众予以拆封、宣读，但按照招标文件规定递交合格的书面撤回通知的投标文件不予开封。</w:t>
      </w:r>
    </w:p>
    <w:p>
      <w:pPr>
        <w:pStyle w:val="22"/>
        <w:tabs>
          <w:tab w:val="left" w:pos="630"/>
        </w:tabs>
        <w:snapToGrid w:val="0"/>
        <w:spacing w:line="360" w:lineRule="auto"/>
        <w:ind w:firstLine="400" w:firstLineChars="200"/>
        <w:rPr>
          <w:rFonts w:hAnsi="宋体"/>
          <w:szCs w:val="21"/>
        </w:rPr>
      </w:pPr>
      <w:r>
        <w:rPr>
          <w:rFonts w:hAnsi="宋体"/>
          <w:szCs w:val="21"/>
        </w:rPr>
        <w:t>5.2.3</w:t>
      </w:r>
      <w:r>
        <w:rPr>
          <w:rFonts w:hint="eastAsia" w:hAnsi="宋体"/>
          <w:szCs w:val="21"/>
        </w:rPr>
        <w:t>开标时，招标人应当众宣布参加本项目招标的投标人个数及投标文件的密封情况，并宣读有效投标的“投标函”中的内容，“投标函”一般包括：投标人名称、投标总报价、以及招标文件中规定的其他内容。</w:t>
      </w:r>
    </w:p>
    <w:p>
      <w:pPr>
        <w:pStyle w:val="22"/>
        <w:tabs>
          <w:tab w:val="left" w:pos="630"/>
        </w:tabs>
        <w:snapToGrid w:val="0"/>
        <w:spacing w:line="360" w:lineRule="auto"/>
        <w:ind w:firstLine="400" w:firstLineChars="200"/>
        <w:rPr>
          <w:rFonts w:hAnsi="宋体"/>
          <w:szCs w:val="21"/>
        </w:rPr>
      </w:pPr>
      <w:r>
        <w:rPr>
          <w:rFonts w:hAnsi="宋体"/>
          <w:szCs w:val="21"/>
        </w:rPr>
        <w:t>5.2.4</w:t>
      </w:r>
      <w:r>
        <w:rPr>
          <w:rFonts w:hint="eastAsia" w:hAnsi="宋体"/>
          <w:szCs w:val="21"/>
        </w:rPr>
        <w:t>开标内容填写在“开标记录表”中，由主持人、唱标人、记录人、监标人签字确认，存档备查。</w:t>
      </w:r>
    </w:p>
    <w:p>
      <w:pPr>
        <w:spacing w:line="360" w:lineRule="auto"/>
        <w:outlineLvl w:val="2"/>
        <w:rPr>
          <w:rFonts w:ascii="宋体"/>
          <w:b/>
        </w:rPr>
      </w:pPr>
      <w:bookmarkStart w:id="307" w:name="_Toc447265534"/>
      <w:bookmarkStart w:id="308" w:name="_Toc26033"/>
      <w:bookmarkStart w:id="309" w:name="_Toc450489307"/>
      <w:bookmarkStart w:id="310" w:name="_Toc447265248"/>
      <w:bookmarkStart w:id="311" w:name="_Toc8657498"/>
      <w:bookmarkStart w:id="312" w:name="_Toc447188697"/>
      <w:bookmarkStart w:id="313" w:name="_Toc10210444"/>
      <w:r>
        <w:rPr>
          <w:rFonts w:ascii="宋体" w:hAnsi="宋体"/>
          <w:b/>
        </w:rPr>
        <w:t>5.3</w:t>
      </w:r>
      <w:r>
        <w:rPr>
          <w:rFonts w:hint="eastAsia" w:ascii="宋体" w:hAnsi="宋体"/>
          <w:b/>
        </w:rPr>
        <w:t>异议</w:t>
      </w:r>
      <w:bookmarkEnd w:id="307"/>
      <w:bookmarkEnd w:id="308"/>
      <w:bookmarkEnd w:id="309"/>
      <w:bookmarkEnd w:id="310"/>
      <w:bookmarkEnd w:id="311"/>
      <w:bookmarkEnd w:id="312"/>
      <w:bookmarkEnd w:id="313"/>
    </w:p>
    <w:p>
      <w:pPr>
        <w:pStyle w:val="22"/>
        <w:tabs>
          <w:tab w:val="left" w:pos="630"/>
        </w:tabs>
        <w:snapToGrid w:val="0"/>
        <w:spacing w:line="360" w:lineRule="auto"/>
        <w:ind w:firstLine="400" w:firstLineChars="200"/>
        <w:rPr>
          <w:rFonts w:hAnsi="宋体"/>
          <w:szCs w:val="21"/>
        </w:rPr>
      </w:pPr>
      <w:r>
        <w:rPr>
          <w:rFonts w:hAnsi="宋体"/>
          <w:szCs w:val="21"/>
        </w:rPr>
        <w:t>5.3.1</w:t>
      </w:r>
      <w:r>
        <w:rPr>
          <w:rFonts w:hint="eastAsia" w:hAnsi="宋体"/>
          <w:szCs w:val="21"/>
        </w:rPr>
        <w:t>投标人对开标有异议的，应当在开标现场提出，招标人应当场作出答复，并制作记录。</w:t>
      </w:r>
    </w:p>
    <w:p>
      <w:pPr>
        <w:pStyle w:val="22"/>
        <w:tabs>
          <w:tab w:val="left" w:pos="630"/>
        </w:tabs>
        <w:snapToGrid w:val="0"/>
        <w:spacing w:line="360" w:lineRule="auto"/>
        <w:ind w:firstLine="400" w:firstLineChars="200"/>
        <w:rPr>
          <w:rFonts w:hAnsi="宋体"/>
          <w:szCs w:val="21"/>
        </w:rPr>
      </w:pPr>
      <w:r>
        <w:rPr>
          <w:rFonts w:hAnsi="宋体"/>
          <w:szCs w:val="21"/>
        </w:rPr>
        <w:t>5.3.2</w:t>
      </w:r>
      <w:r>
        <w:rPr>
          <w:rFonts w:hint="eastAsia" w:hAnsi="宋体"/>
          <w:szCs w:val="21"/>
        </w:rPr>
        <w:t>投标人认为存在低于成本价投标情形的，可以在开标现场提出异议，并在评标完成前向招标人递交书面材料，招标人应当及时将书面材料转交评标委员会。</w:t>
      </w:r>
    </w:p>
    <w:p>
      <w:pPr>
        <w:spacing w:line="360" w:lineRule="auto"/>
        <w:outlineLvl w:val="1"/>
        <w:rPr>
          <w:rFonts w:ascii="宋体"/>
          <w:b/>
        </w:rPr>
      </w:pPr>
      <w:bookmarkStart w:id="314" w:name="_Toc8657499"/>
      <w:bookmarkStart w:id="315" w:name="_Toc10210445"/>
      <w:bookmarkStart w:id="316" w:name="_Toc21289"/>
      <w:r>
        <w:rPr>
          <w:rFonts w:ascii="宋体" w:hAnsi="宋体"/>
          <w:b/>
        </w:rPr>
        <w:t>6.</w:t>
      </w:r>
      <w:r>
        <w:rPr>
          <w:rFonts w:hint="eastAsia" w:ascii="宋体" w:hAnsi="宋体"/>
          <w:b/>
        </w:rPr>
        <w:t>评标</w:t>
      </w:r>
      <w:bookmarkEnd w:id="293"/>
      <w:bookmarkEnd w:id="294"/>
      <w:bookmarkEnd w:id="295"/>
      <w:bookmarkEnd w:id="296"/>
      <w:bookmarkEnd w:id="297"/>
      <w:bookmarkEnd w:id="298"/>
      <w:bookmarkEnd w:id="299"/>
      <w:bookmarkEnd w:id="300"/>
      <w:bookmarkEnd w:id="301"/>
      <w:bookmarkEnd w:id="302"/>
      <w:bookmarkEnd w:id="303"/>
      <w:bookmarkEnd w:id="314"/>
      <w:bookmarkEnd w:id="315"/>
      <w:bookmarkEnd w:id="316"/>
    </w:p>
    <w:p>
      <w:pPr>
        <w:spacing w:line="360" w:lineRule="auto"/>
        <w:outlineLvl w:val="2"/>
        <w:rPr>
          <w:rFonts w:ascii="宋体"/>
          <w:b/>
        </w:rPr>
      </w:pPr>
      <w:bookmarkStart w:id="317" w:name="_Toc10210446"/>
      <w:bookmarkStart w:id="318" w:name="_Toc447188700"/>
      <w:bookmarkStart w:id="319" w:name="_Toc447265251"/>
      <w:bookmarkStart w:id="320" w:name="_Toc447265537"/>
      <w:bookmarkStart w:id="321" w:name="_Toc32290"/>
      <w:bookmarkStart w:id="322" w:name="_Toc8657500"/>
      <w:r>
        <w:rPr>
          <w:rFonts w:ascii="宋体" w:hAnsi="宋体"/>
          <w:b/>
        </w:rPr>
        <w:t>6.1</w:t>
      </w:r>
      <w:r>
        <w:rPr>
          <w:rFonts w:hint="eastAsia" w:ascii="宋体" w:hAnsi="宋体"/>
          <w:b/>
        </w:rPr>
        <w:t>评标委员会</w:t>
      </w:r>
      <w:bookmarkEnd w:id="304"/>
      <w:bookmarkEnd w:id="305"/>
      <w:bookmarkEnd w:id="306"/>
      <w:bookmarkEnd w:id="317"/>
      <w:bookmarkEnd w:id="318"/>
      <w:bookmarkEnd w:id="319"/>
      <w:bookmarkEnd w:id="320"/>
      <w:bookmarkEnd w:id="321"/>
      <w:bookmarkEnd w:id="322"/>
    </w:p>
    <w:p>
      <w:pPr>
        <w:pStyle w:val="22"/>
        <w:tabs>
          <w:tab w:val="left" w:pos="630"/>
        </w:tabs>
        <w:snapToGrid w:val="0"/>
        <w:spacing w:line="360" w:lineRule="auto"/>
        <w:ind w:firstLine="400" w:firstLineChars="200"/>
        <w:rPr>
          <w:rFonts w:hAnsi="宋体"/>
          <w:szCs w:val="21"/>
        </w:rPr>
      </w:pPr>
      <w:bookmarkStart w:id="323" w:name="_Toc447265541"/>
      <w:bookmarkStart w:id="324" w:name="_Toc447265255"/>
      <w:bookmarkStart w:id="325" w:name="_Toc447188703"/>
      <w:bookmarkStart w:id="326" w:name="_Toc226969309"/>
      <w:bookmarkStart w:id="327" w:name="_Toc227057915"/>
      <w:bookmarkStart w:id="328" w:name="_Toc107822516"/>
      <w:bookmarkStart w:id="329" w:name="_Toc488655860"/>
      <w:r>
        <w:rPr>
          <w:rFonts w:hAnsi="宋体"/>
          <w:szCs w:val="21"/>
        </w:rPr>
        <w:t>6.1.1</w:t>
      </w:r>
      <w:r>
        <w:rPr>
          <w:rFonts w:hint="eastAsia" w:hAnsi="宋体"/>
          <w:szCs w:val="21"/>
        </w:rPr>
        <w:t>评标由依法组建的评标委员会负责，具体人数见投标人须知前附表。</w:t>
      </w:r>
    </w:p>
    <w:p>
      <w:pPr>
        <w:pStyle w:val="22"/>
        <w:tabs>
          <w:tab w:val="left" w:pos="630"/>
        </w:tabs>
        <w:snapToGrid w:val="0"/>
        <w:spacing w:line="360" w:lineRule="auto"/>
        <w:ind w:firstLine="400" w:firstLineChars="200"/>
        <w:rPr>
          <w:rFonts w:hAnsi="宋体"/>
          <w:szCs w:val="21"/>
        </w:rPr>
      </w:pPr>
      <w:r>
        <w:rPr>
          <w:rFonts w:hAnsi="宋体"/>
          <w:szCs w:val="21"/>
        </w:rPr>
        <w:t>6.1.2</w:t>
      </w:r>
      <w:r>
        <w:rPr>
          <w:rFonts w:hint="eastAsia" w:hAnsi="宋体"/>
          <w:szCs w:val="21"/>
        </w:rPr>
        <w:t>评标期间，任何单位和个人不得非法干预或者影响评标的过程和结果。</w:t>
      </w:r>
    </w:p>
    <w:p>
      <w:pPr>
        <w:pStyle w:val="22"/>
        <w:tabs>
          <w:tab w:val="left" w:pos="630"/>
        </w:tabs>
        <w:snapToGrid w:val="0"/>
        <w:spacing w:line="360" w:lineRule="auto"/>
        <w:ind w:firstLine="400" w:firstLineChars="200"/>
        <w:rPr>
          <w:rFonts w:hAnsi="宋体"/>
          <w:szCs w:val="21"/>
        </w:rPr>
      </w:pPr>
      <w:r>
        <w:rPr>
          <w:rFonts w:hAnsi="宋体"/>
          <w:szCs w:val="21"/>
        </w:rPr>
        <w:t>6.1.3</w:t>
      </w:r>
      <w:r>
        <w:rPr>
          <w:rFonts w:hint="eastAsia" w:hAnsi="宋体"/>
          <w:szCs w:val="21"/>
        </w:rPr>
        <w:t>评标委员会成员名单在中标结果确定前保密。</w:t>
      </w:r>
    </w:p>
    <w:p>
      <w:pPr>
        <w:spacing w:line="360" w:lineRule="auto"/>
        <w:outlineLvl w:val="2"/>
        <w:rPr>
          <w:rFonts w:ascii="宋体"/>
          <w:b/>
        </w:rPr>
      </w:pPr>
      <w:bookmarkStart w:id="330" w:name="_Toc447265252"/>
      <w:bookmarkStart w:id="331" w:name="_Toc179632582"/>
      <w:bookmarkStart w:id="332" w:name="_Toc246996208"/>
      <w:bookmarkStart w:id="333" w:name="_Toc296602453"/>
      <w:bookmarkStart w:id="334" w:name="_Toc247085722"/>
      <w:bookmarkStart w:id="335" w:name="_Toc152045564"/>
      <w:bookmarkStart w:id="336" w:name="_Toc14343"/>
      <w:bookmarkStart w:id="337" w:name="_Toc450489311"/>
      <w:bookmarkStart w:id="338" w:name="_Toc8657501"/>
      <w:bookmarkStart w:id="339" w:name="_Toc152042340"/>
      <w:bookmarkStart w:id="340" w:name="_Toc10210447"/>
      <w:bookmarkStart w:id="341" w:name="_Toc246996951"/>
      <w:bookmarkStart w:id="342" w:name="_Toc447265538"/>
      <w:bookmarkStart w:id="343" w:name="_Toc144974532"/>
      <w:r>
        <w:rPr>
          <w:rFonts w:ascii="宋体" w:hAnsi="宋体"/>
          <w:b/>
        </w:rPr>
        <w:t>6.2</w:t>
      </w:r>
      <w:r>
        <w:rPr>
          <w:rFonts w:hint="eastAsia" w:ascii="宋体" w:hAnsi="宋体"/>
          <w:b/>
        </w:rPr>
        <w:t>评标原则</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pStyle w:val="22"/>
        <w:tabs>
          <w:tab w:val="left" w:pos="630"/>
        </w:tabs>
        <w:snapToGrid w:val="0"/>
        <w:spacing w:line="360" w:lineRule="auto"/>
        <w:ind w:firstLine="400" w:firstLineChars="200"/>
        <w:rPr>
          <w:rFonts w:hAnsi="宋体"/>
          <w:szCs w:val="21"/>
        </w:rPr>
      </w:pPr>
      <w:r>
        <w:rPr>
          <w:rFonts w:hAnsi="宋体"/>
          <w:szCs w:val="21"/>
        </w:rPr>
        <w:t>6.2.1</w:t>
      </w:r>
      <w:r>
        <w:rPr>
          <w:rFonts w:hint="eastAsia" w:hAnsi="宋体"/>
          <w:szCs w:val="21"/>
        </w:rPr>
        <w:t>评标活动遵循公平、公正、科学和择优的原则。</w:t>
      </w:r>
    </w:p>
    <w:p>
      <w:pPr>
        <w:spacing w:line="360" w:lineRule="auto"/>
        <w:outlineLvl w:val="2"/>
        <w:rPr>
          <w:rFonts w:ascii="宋体"/>
          <w:b/>
        </w:rPr>
      </w:pPr>
      <w:bookmarkStart w:id="344" w:name="_Toc447188701"/>
      <w:bookmarkStart w:id="345" w:name="_Toc447265253"/>
      <w:bookmarkStart w:id="346" w:name="_Toc450489312"/>
      <w:bookmarkStart w:id="347" w:name="_Toc447265539"/>
      <w:bookmarkStart w:id="348" w:name="_Toc8657502"/>
      <w:bookmarkStart w:id="349" w:name="_Toc10210448"/>
      <w:bookmarkStart w:id="350" w:name="_Toc23324"/>
      <w:r>
        <w:rPr>
          <w:rFonts w:ascii="宋体" w:hAnsi="宋体"/>
          <w:b/>
        </w:rPr>
        <w:t>6.3</w:t>
      </w:r>
      <w:r>
        <w:rPr>
          <w:rFonts w:hint="eastAsia" w:ascii="宋体" w:hAnsi="宋体"/>
          <w:b/>
        </w:rPr>
        <w:t>评标方法</w:t>
      </w:r>
      <w:bookmarkEnd w:id="344"/>
      <w:bookmarkEnd w:id="345"/>
      <w:bookmarkEnd w:id="346"/>
      <w:bookmarkEnd w:id="347"/>
      <w:bookmarkEnd w:id="348"/>
      <w:bookmarkEnd w:id="349"/>
      <w:bookmarkEnd w:id="350"/>
    </w:p>
    <w:p>
      <w:pPr>
        <w:pStyle w:val="22"/>
        <w:tabs>
          <w:tab w:val="left" w:pos="630"/>
        </w:tabs>
        <w:snapToGrid w:val="0"/>
        <w:spacing w:line="360" w:lineRule="auto"/>
        <w:ind w:firstLine="400" w:firstLineChars="200"/>
        <w:rPr>
          <w:rFonts w:hAnsi="宋体"/>
          <w:szCs w:val="21"/>
        </w:rPr>
      </w:pPr>
      <w:r>
        <w:rPr>
          <w:rFonts w:hAnsi="宋体"/>
          <w:szCs w:val="21"/>
        </w:rPr>
        <w:t>6.3.1</w:t>
      </w:r>
      <w:r>
        <w:rPr>
          <w:rFonts w:hint="eastAsia" w:hAnsi="宋体"/>
          <w:szCs w:val="21"/>
        </w:rPr>
        <w:t>本项目评标采用综合评标法。</w:t>
      </w:r>
    </w:p>
    <w:p>
      <w:pPr>
        <w:spacing w:line="360" w:lineRule="auto"/>
        <w:outlineLvl w:val="2"/>
        <w:rPr>
          <w:rFonts w:ascii="宋体"/>
          <w:b/>
        </w:rPr>
      </w:pPr>
      <w:bookmarkStart w:id="351" w:name="_Toc15361"/>
      <w:bookmarkStart w:id="352" w:name="_Toc10210449"/>
      <w:bookmarkStart w:id="353" w:name="_Toc447188702"/>
      <w:bookmarkStart w:id="354" w:name="_Toc447265254"/>
      <w:bookmarkStart w:id="355" w:name="_Toc447265540"/>
      <w:bookmarkStart w:id="356" w:name="_Toc152042342"/>
      <w:bookmarkStart w:id="357" w:name="_Toc247085724"/>
      <w:bookmarkStart w:id="358" w:name="_Toc144974534"/>
      <w:bookmarkStart w:id="359" w:name="_Toc179632584"/>
      <w:bookmarkStart w:id="360" w:name="_Toc152045566"/>
      <w:bookmarkStart w:id="361" w:name="_Toc296602455"/>
      <w:bookmarkStart w:id="362" w:name="_Toc246996210"/>
      <w:bookmarkStart w:id="363" w:name="_Toc246996953"/>
      <w:r>
        <w:rPr>
          <w:rFonts w:ascii="宋体" w:hAnsi="宋体"/>
          <w:b/>
        </w:rPr>
        <w:t>6.4</w:t>
      </w:r>
      <w:r>
        <w:rPr>
          <w:rFonts w:hint="eastAsia" w:ascii="宋体" w:hAnsi="宋体"/>
          <w:b/>
        </w:rPr>
        <w:t>投标文件的澄清</w:t>
      </w:r>
      <w:bookmarkEnd w:id="351"/>
      <w:bookmarkEnd w:id="352"/>
    </w:p>
    <w:p>
      <w:pPr>
        <w:pStyle w:val="22"/>
        <w:tabs>
          <w:tab w:val="left" w:pos="630"/>
        </w:tabs>
        <w:snapToGrid w:val="0"/>
        <w:spacing w:line="360" w:lineRule="auto"/>
        <w:ind w:firstLine="400" w:firstLineChars="200"/>
        <w:rPr>
          <w:rFonts w:hAnsi="宋体"/>
          <w:szCs w:val="21"/>
        </w:rPr>
      </w:pPr>
      <w:r>
        <w:rPr>
          <w:rFonts w:hint="eastAsia" w:hAnsi="宋体"/>
          <w:szCs w:val="21"/>
        </w:rPr>
        <w:t>为有助于投标文件的审查、评价和比较，评标委员会可以书面形式个别的要求投标人对投标文件含义不明确的内容做必要的澄清或说明，投标人应采用书面形式进行澄清或说明，但不允许更改投标文件的实质性内容。</w:t>
      </w:r>
    </w:p>
    <w:p>
      <w:pPr>
        <w:spacing w:line="360" w:lineRule="auto"/>
        <w:outlineLvl w:val="2"/>
        <w:rPr>
          <w:rFonts w:ascii="宋体"/>
          <w:b/>
        </w:rPr>
      </w:pPr>
      <w:bookmarkStart w:id="364" w:name="_Toc8657503"/>
      <w:bookmarkStart w:id="365" w:name="_Toc10210450"/>
      <w:bookmarkStart w:id="366" w:name="_Toc450489313"/>
      <w:bookmarkStart w:id="367" w:name="_Toc17816"/>
      <w:r>
        <w:rPr>
          <w:rFonts w:ascii="宋体" w:hAnsi="宋体"/>
          <w:b/>
        </w:rPr>
        <w:t>6.5</w:t>
      </w:r>
      <w:r>
        <w:rPr>
          <w:rFonts w:hint="eastAsia" w:ascii="宋体" w:hAnsi="宋体"/>
          <w:b/>
        </w:rPr>
        <w:t>中标候选人推荐原则</w:t>
      </w:r>
      <w:bookmarkEnd w:id="364"/>
      <w:bookmarkEnd w:id="365"/>
      <w:bookmarkEnd w:id="366"/>
      <w:bookmarkEnd w:id="367"/>
    </w:p>
    <w:p>
      <w:pPr>
        <w:pStyle w:val="22"/>
        <w:tabs>
          <w:tab w:val="left" w:pos="630"/>
        </w:tabs>
        <w:snapToGrid w:val="0"/>
        <w:spacing w:line="360" w:lineRule="auto"/>
        <w:ind w:firstLine="400" w:firstLineChars="200"/>
        <w:rPr>
          <w:rFonts w:hAnsi="宋体"/>
          <w:szCs w:val="21"/>
        </w:rPr>
      </w:pPr>
      <w:r>
        <w:rPr>
          <w:rFonts w:hint="eastAsia" w:hAnsi="宋体"/>
          <w:szCs w:val="21"/>
        </w:rPr>
        <w:t>评标委员会应当根据《</w:t>
      </w:r>
      <w:r>
        <w:rPr>
          <w:rFonts w:hint="eastAsia"/>
          <w:kern w:val="2"/>
          <w:sz w:val="21"/>
          <w:szCs w:val="21"/>
        </w:rPr>
        <w:t>中华人民共和国招标投标法</w:t>
      </w:r>
      <w:r>
        <w:rPr>
          <w:rFonts w:hint="eastAsia" w:hAnsi="宋体"/>
          <w:szCs w:val="21"/>
        </w:rPr>
        <w:t>》的有关规定推荐中标候选人，具体推荐原则见投标人须知前附表。</w:t>
      </w:r>
    </w:p>
    <w:p>
      <w:pPr>
        <w:spacing w:line="360" w:lineRule="auto"/>
        <w:outlineLvl w:val="2"/>
        <w:rPr>
          <w:rFonts w:ascii="宋体"/>
          <w:b/>
        </w:rPr>
      </w:pPr>
      <w:bookmarkStart w:id="368" w:name="_Toc8657504"/>
      <w:bookmarkStart w:id="369" w:name="_Toc10210451"/>
      <w:bookmarkStart w:id="370" w:name="_Toc450489314"/>
      <w:bookmarkStart w:id="371" w:name="_Toc17390"/>
      <w:r>
        <w:rPr>
          <w:rFonts w:ascii="宋体" w:hAnsi="宋体"/>
          <w:b/>
        </w:rPr>
        <w:t>6.6</w:t>
      </w:r>
      <w:r>
        <w:rPr>
          <w:rFonts w:hint="eastAsia" w:ascii="宋体" w:hAnsi="宋体"/>
          <w:b/>
        </w:rPr>
        <w:t>评标报告</w:t>
      </w:r>
      <w:bookmarkEnd w:id="353"/>
      <w:bookmarkEnd w:id="354"/>
      <w:bookmarkEnd w:id="355"/>
      <w:bookmarkEnd w:id="368"/>
      <w:bookmarkEnd w:id="369"/>
      <w:bookmarkEnd w:id="370"/>
      <w:bookmarkEnd w:id="371"/>
    </w:p>
    <w:p>
      <w:pPr>
        <w:pStyle w:val="22"/>
        <w:tabs>
          <w:tab w:val="left" w:pos="630"/>
        </w:tabs>
        <w:snapToGrid w:val="0"/>
        <w:spacing w:line="360" w:lineRule="auto"/>
        <w:ind w:firstLine="400" w:firstLineChars="200"/>
        <w:rPr>
          <w:rFonts w:hAnsi="宋体"/>
          <w:szCs w:val="21"/>
        </w:rPr>
      </w:pPr>
      <w:r>
        <w:rPr>
          <w:rFonts w:hint="eastAsia" w:hAnsi="宋体"/>
          <w:szCs w:val="21"/>
        </w:rPr>
        <w:t>评标完成后，评标委员会应当根据《</w:t>
      </w:r>
      <w:r>
        <w:rPr>
          <w:rFonts w:hint="eastAsia"/>
          <w:kern w:val="2"/>
          <w:sz w:val="21"/>
          <w:szCs w:val="21"/>
        </w:rPr>
        <w:t>中华人民共和国招标投标法</w:t>
      </w:r>
      <w:r>
        <w:rPr>
          <w:rFonts w:hint="eastAsia" w:hAnsi="宋体"/>
          <w:szCs w:val="21"/>
        </w:rPr>
        <w:t>》的有关规定及时向招标人提交评标报告和中标候选人名单。</w:t>
      </w:r>
    </w:p>
    <w:bookmarkEnd w:id="356"/>
    <w:bookmarkEnd w:id="357"/>
    <w:bookmarkEnd w:id="358"/>
    <w:bookmarkEnd w:id="359"/>
    <w:bookmarkEnd w:id="360"/>
    <w:bookmarkEnd w:id="361"/>
    <w:bookmarkEnd w:id="362"/>
    <w:bookmarkEnd w:id="363"/>
    <w:p>
      <w:pPr>
        <w:spacing w:line="360" w:lineRule="auto"/>
        <w:outlineLvl w:val="1"/>
        <w:rPr>
          <w:rFonts w:ascii="宋体"/>
          <w:b/>
        </w:rPr>
      </w:pPr>
      <w:bookmarkStart w:id="372" w:name="_Toc10210452"/>
      <w:bookmarkStart w:id="373" w:name="_Toc22475"/>
      <w:bookmarkStart w:id="374" w:name="_Toc8657505"/>
      <w:r>
        <w:rPr>
          <w:rFonts w:ascii="宋体" w:hAnsi="宋体"/>
          <w:b/>
        </w:rPr>
        <w:t>7.</w:t>
      </w:r>
      <w:r>
        <w:rPr>
          <w:rFonts w:hint="eastAsia" w:ascii="宋体" w:hAnsi="宋体"/>
          <w:b/>
        </w:rPr>
        <w:t>中标</w:t>
      </w:r>
      <w:bookmarkEnd w:id="323"/>
      <w:bookmarkEnd w:id="324"/>
      <w:bookmarkEnd w:id="325"/>
      <w:bookmarkEnd w:id="372"/>
      <w:bookmarkEnd w:id="373"/>
      <w:bookmarkEnd w:id="374"/>
    </w:p>
    <w:p>
      <w:pPr>
        <w:spacing w:line="360" w:lineRule="auto"/>
        <w:outlineLvl w:val="2"/>
        <w:rPr>
          <w:rFonts w:ascii="宋体"/>
          <w:b/>
        </w:rPr>
      </w:pPr>
      <w:bookmarkStart w:id="375" w:name="_Toc447265542"/>
      <w:bookmarkStart w:id="376" w:name="_Toc8657506"/>
      <w:bookmarkStart w:id="377" w:name="_Toc447188704"/>
      <w:bookmarkStart w:id="378" w:name="_Toc10210453"/>
      <w:bookmarkStart w:id="379" w:name="_Toc3841"/>
      <w:bookmarkStart w:id="380" w:name="_Toc447265256"/>
      <w:r>
        <w:rPr>
          <w:rFonts w:ascii="宋体" w:hAnsi="宋体"/>
          <w:b/>
        </w:rPr>
        <w:t>7.1</w:t>
      </w:r>
      <w:r>
        <w:rPr>
          <w:rFonts w:hint="eastAsia" w:ascii="宋体" w:hAnsi="宋体"/>
          <w:b/>
        </w:rPr>
        <w:t>中标候选人公示</w:t>
      </w:r>
      <w:bookmarkEnd w:id="375"/>
      <w:bookmarkEnd w:id="376"/>
      <w:bookmarkEnd w:id="377"/>
      <w:bookmarkEnd w:id="378"/>
      <w:bookmarkEnd w:id="379"/>
      <w:bookmarkEnd w:id="380"/>
    </w:p>
    <w:p>
      <w:pPr>
        <w:pStyle w:val="22"/>
        <w:tabs>
          <w:tab w:val="left" w:pos="630"/>
        </w:tabs>
        <w:snapToGrid w:val="0"/>
        <w:spacing w:line="360" w:lineRule="auto"/>
        <w:ind w:firstLine="400" w:firstLineChars="200"/>
        <w:rPr>
          <w:rFonts w:hint="eastAsia" w:hAnsi="宋体"/>
          <w:szCs w:val="21"/>
        </w:rPr>
      </w:pPr>
      <w:r>
        <w:rPr>
          <w:rFonts w:hAnsi="宋体"/>
          <w:szCs w:val="21"/>
        </w:rPr>
        <w:t>7.1.1</w:t>
      </w:r>
      <w:r>
        <w:rPr>
          <w:rFonts w:hint="eastAsia" w:hAnsi="宋体"/>
          <w:szCs w:val="21"/>
        </w:rPr>
        <w:t>招标人不对未中标人就评标过程以及未能中标原因做出任何解释。</w:t>
      </w:r>
      <w:bookmarkEnd w:id="326"/>
      <w:bookmarkEnd w:id="327"/>
      <w:bookmarkEnd w:id="328"/>
      <w:bookmarkEnd w:id="329"/>
      <w:bookmarkStart w:id="381" w:name="_Toc447265259"/>
      <w:bookmarkStart w:id="382" w:name="_Toc447265545"/>
      <w:bookmarkStart w:id="383" w:name="_Toc107822517"/>
      <w:bookmarkStart w:id="384" w:name="_Toc227057916"/>
      <w:bookmarkStart w:id="385" w:name="_Toc152045569"/>
      <w:bookmarkStart w:id="386" w:name="_Toc226969310"/>
      <w:bookmarkStart w:id="387" w:name="_Toc152042345"/>
      <w:bookmarkStart w:id="388" w:name="_Toc247085727"/>
      <w:bookmarkStart w:id="389" w:name="_Toc179632587"/>
      <w:bookmarkStart w:id="390" w:name="_Toc144974537"/>
      <w:bookmarkStart w:id="391" w:name="_Toc296602459"/>
      <w:bookmarkStart w:id="392" w:name="_Toc246996956"/>
      <w:bookmarkStart w:id="393" w:name="_Toc246996213"/>
    </w:p>
    <w:p>
      <w:pPr>
        <w:pStyle w:val="22"/>
        <w:tabs>
          <w:tab w:val="left" w:pos="630"/>
        </w:tabs>
        <w:snapToGrid w:val="0"/>
        <w:spacing w:line="360" w:lineRule="auto"/>
        <w:ind w:firstLine="400" w:firstLineChars="200"/>
        <w:rPr>
          <w:rFonts w:hAnsi="宋体"/>
          <w:szCs w:val="21"/>
        </w:rPr>
      </w:pPr>
      <w:r>
        <w:rPr>
          <w:rFonts w:hAnsi="宋体"/>
          <w:szCs w:val="21"/>
        </w:rPr>
        <w:t>7.1.2</w:t>
      </w:r>
      <w:r>
        <w:rPr>
          <w:rFonts w:hint="eastAsia" w:hAnsi="宋体"/>
          <w:szCs w:val="21"/>
        </w:rPr>
        <w:t>中标候选人将在“招标公告”发布媒介予以公示。</w:t>
      </w:r>
    </w:p>
    <w:p>
      <w:pPr>
        <w:pStyle w:val="22"/>
        <w:tabs>
          <w:tab w:val="left" w:pos="630"/>
        </w:tabs>
        <w:snapToGrid w:val="0"/>
        <w:spacing w:line="360" w:lineRule="auto"/>
        <w:ind w:firstLine="400" w:firstLineChars="200"/>
        <w:rPr>
          <w:rFonts w:hAnsi="宋体"/>
          <w:szCs w:val="21"/>
        </w:rPr>
      </w:pPr>
      <w:r>
        <w:rPr>
          <w:rFonts w:hAnsi="宋体"/>
          <w:szCs w:val="21"/>
        </w:rPr>
        <w:t>7.1.3</w:t>
      </w:r>
      <w:r>
        <w:rPr>
          <w:rFonts w:hint="eastAsia" w:hAnsi="宋体"/>
          <w:szCs w:val="21"/>
        </w:rPr>
        <w:t>投标人或者其他利害关系人对评标结果有异议的，应当在中标候选人公示期间提出。</w:t>
      </w:r>
    </w:p>
    <w:p>
      <w:pPr>
        <w:spacing w:line="360" w:lineRule="auto"/>
        <w:outlineLvl w:val="2"/>
        <w:rPr>
          <w:rFonts w:ascii="宋体"/>
          <w:b/>
        </w:rPr>
      </w:pPr>
      <w:bookmarkStart w:id="394" w:name="_Toc447265257"/>
      <w:bookmarkStart w:id="395" w:name="_Toc8657507"/>
      <w:bookmarkStart w:id="396" w:name="_Toc10210454"/>
      <w:bookmarkStart w:id="397" w:name="_Toc29355"/>
      <w:bookmarkStart w:id="398" w:name="_Toc447188705"/>
      <w:bookmarkStart w:id="399" w:name="_Toc450489317"/>
      <w:bookmarkStart w:id="400" w:name="_Toc447265543"/>
      <w:r>
        <w:rPr>
          <w:rFonts w:ascii="宋体" w:hAnsi="宋体"/>
          <w:b/>
        </w:rPr>
        <w:t>7.2</w:t>
      </w:r>
      <w:r>
        <w:rPr>
          <w:rFonts w:hint="eastAsia" w:ascii="宋体" w:hAnsi="宋体"/>
          <w:b/>
        </w:rPr>
        <w:t>确定中标人</w:t>
      </w:r>
      <w:bookmarkEnd w:id="394"/>
      <w:bookmarkEnd w:id="395"/>
      <w:bookmarkEnd w:id="396"/>
      <w:bookmarkEnd w:id="397"/>
      <w:bookmarkEnd w:id="398"/>
      <w:bookmarkEnd w:id="399"/>
      <w:bookmarkEnd w:id="400"/>
    </w:p>
    <w:p>
      <w:pPr>
        <w:pStyle w:val="22"/>
        <w:tabs>
          <w:tab w:val="left" w:pos="630"/>
        </w:tabs>
        <w:snapToGrid w:val="0"/>
        <w:spacing w:line="360" w:lineRule="auto"/>
        <w:ind w:firstLine="400" w:firstLineChars="200"/>
        <w:rPr>
          <w:rFonts w:hAnsi="宋体"/>
          <w:szCs w:val="21"/>
        </w:rPr>
      </w:pPr>
      <w:r>
        <w:rPr>
          <w:rFonts w:hAnsi="宋体"/>
          <w:szCs w:val="21"/>
        </w:rPr>
        <w:t>7.2.1</w:t>
      </w:r>
      <w:r>
        <w:rPr>
          <w:rFonts w:hint="eastAsia" w:hAnsi="宋体"/>
          <w:szCs w:val="21"/>
        </w:rPr>
        <w:t>招标人依据评标委员会推荐的中标候选人确定中标人，中标人数量见投标人须知前附表。</w:t>
      </w:r>
    </w:p>
    <w:p>
      <w:pPr>
        <w:pStyle w:val="22"/>
        <w:tabs>
          <w:tab w:val="left" w:pos="630"/>
        </w:tabs>
        <w:snapToGrid w:val="0"/>
        <w:spacing w:line="360" w:lineRule="auto"/>
        <w:ind w:firstLine="400" w:firstLineChars="200"/>
        <w:rPr>
          <w:rFonts w:hAnsi="宋体"/>
          <w:szCs w:val="21"/>
        </w:rPr>
      </w:pPr>
      <w:r>
        <w:rPr>
          <w:rFonts w:hAnsi="宋体"/>
          <w:szCs w:val="21"/>
        </w:rPr>
        <w:t>7.2.</w:t>
      </w:r>
      <w:r>
        <w:rPr>
          <w:rFonts w:hint="eastAsia" w:hAnsi="宋体"/>
          <w:szCs w:val="21"/>
        </w:rPr>
        <w:t>2在签订合同之前，中标人放弃中标或者不能履行合同的，招标人可以按照评标委员会提出的中标候选人名单排序依次确定其他中标候选人为中标人，也可以重新招标。</w:t>
      </w:r>
    </w:p>
    <w:p>
      <w:pPr>
        <w:spacing w:line="360" w:lineRule="auto"/>
        <w:outlineLvl w:val="2"/>
        <w:rPr>
          <w:rFonts w:ascii="宋体"/>
          <w:b/>
        </w:rPr>
      </w:pPr>
      <w:bookmarkStart w:id="401" w:name="_Toc152042344"/>
      <w:bookmarkStart w:id="402" w:name="_Toc179632586"/>
      <w:bookmarkStart w:id="403" w:name="_Toc247085726"/>
      <w:bookmarkStart w:id="404" w:name="_Toc8657508"/>
      <w:bookmarkStart w:id="405" w:name="_Toc246996212"/>
      <w:bookmarkStart w:id="406" w:name="_Toc447265258"/>
      <w:bookmarkStart w:id="407" w:name="_Toc18112"/>
      <w:bookmarkStart w:id="408" w:name="_Toc152045568"/>
      <w:bookmarkStart w:id="409" w:name="_Toc447265544"/>
      <w:bookmarkStart w:id="410" w:name="_Toc144974536"/>
      <w:bookmarkStart w:id="411" w:name="_Toc246996955"/>
      <w:bookmarkStart w:id="412" w:name="_Toc450489318"/>
      <w:bookmarkStart w:id="413" w:name="_Toc10210455"/>
      <w:bookmarkStart w:id="414" w:name="_Toc296602458"/>
      <w:bookmarkStart w:id="415" w:name="OLE_LINK6"/>
      <w:bookmarkStart w:id="416" w:name="OLE_LINK7"/>
      <w:r>
        <w:rPr>
          <w:rFonts w:ascii="宋体" w:hAnsi="宋体"/>
          <w:b/>
        </w:rPr>
        <w:t>7.3</w:t>
      </w:r>
      <w:r>
        <w:rPr>
          <w:rFonts w:hint="eastAsia" w:ascii="宋体" w:hAnsi="宋体"/>
          <w:b/>
        </w:rPr>
        <w:t>中标通知</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pPr>
        <w:pStyle w:val="22"/>
        <w:tabs>
          <w:tab w:val="left" w:pos="630"/>
        </w:tabs>
        <w:snapToGrid w:val="0"/>
        <w:spacing w:line="360" w:lineRule="auto"/>
        <w:ind w:firstLine="400" w:firstLineChars="200"/>
        <w:rPr>
          <w:rFonts w:hAnsi="宋体"/>
          <w:szCs w:val="21"/>
        </w:rPr>
      </w:pPr>
      <w:r>
        <w:rPr>
          <w:rFonts w:hAnsi="宋体"/>
          <w:szCs w:val="21"/>
        </w:rPr>
        <w:t>7.3.1</w:t>
      </w:r>
      <w:r>
        <w:rPr>
          <w:rFonts w:hint="eastAsia" w:hAnsi="宋体"/>
          <w:szCs w:val="21"/>
        </w:rPr>
        <w:t>在中标通知书发出前，中标候选人的经营、财务状况发生较大变化或者存在违法行为，可能影响其履约能力的，投标人应当主动告知招标人。</w:t>
      </w:r>
      <w:bookmarkEnd w:id="415"/>
      <w:bookmarkEnd w:id="416"/>
    </w:p>
    <w:p>
      <w:pPr>
        <w:pStyle w:val="22"/>
        <w:tabs>
          <w:tab w:val="left" w:pos="630"/>
        </w:tabs>
        <w:snapToGrid w:val="0"/>
        <w:spacing w:line="360" w:lineRule="auto"/>
        <w:ind w:firstLine="400" w:firstLineChars="200"/>
        <w:rPr>
          <w:rFonts w:hAnsi="宋体"/>
          <w:szCs w:val="21"/>
        </w:rPr>
      </w:pPr>
      <w:r>
        <w:rPr>
          <w:rFonts w:hAnsi="宋体"/>
          <w:szCs w:val="21"/>
        </w:rPr>
        <w:t>7.3.2</w:t>
      </w:r>
      <w:r>
        <w:rPr>
          <w:rFonts w:hint="eastAsia" w:hAnsi="宋体"/>
          <w:szCs w:val="21"/>
        </w:rPr>
        <w:t>中标人确定后，招标人向中标人发出中标通知书。</w:t>
      </w:r>
    </w:p>
    <w:p>
      <w:pPr>
        <w:pStyle w:val="22"/>
        <w:tabs>
          <w:tab w:val="left" w:pos="630"/>
        </w:tabs>
        <w:snapToGrid w:val="0"/>
        <w:spacing w:line="360" w:lineRule="auto"/>
        <w:ind w:firstLine="400" w:firstLineChars="200"/>
        <w:rPr>
          <w:rFonts w:hAnsi="宋体"/>
          <w:szCs w:val="21"/>
        </w:rPr>
      </w:pPr>
      <w:r>
        <w:rPr>
          <w:rFonts w:hAnsi="宋体"/>
          <w:szCs w:val="21"/>
        </w:rPr>
        <w:t>7.3.3</w:t>
      </w:r>
      <w:r>
        <w:rPr>
          <w:rFonts w:hint="eastAsia" w:hAnsi="宋体"/>
          <w:szCs w:val="21"/>
        </w:rPr>
        <w:t>中标通知书是招标投标档案和合同的组成部分。</w:t>
      </w:r>
    </w:p>
    <w:p>
      <w:pPr>
        <w:pStyle w:val="22"/>
        <w:tabs>
          <w:tab w:val="left" w:pos="630"/>
        </w:tabs>
        <w:snapToGrid w:val="0"/>
        <w:spacing w:line="360" w:lineRule="auto"/>
        <w:ind w:firstLine="400" w:firstLineChars="200"/>
        <w:rPr>
          <w:rFonts w:hAnsi="宋体"/>
          <w:szCs w:val="21"/>
        </w:rPr>
      </w:pPr>
      <w:r>
        <w:rPr>
          <w:rFonts w:hAnsi="宋体"/>
          <w:szCs w:val="21"/>
        </w:rPr>
        <w:t>7.3.4</w:t>
      </w:r>
      <w:r>
        <w:rPr>
          <w:rFonts w:hint="eastAsia" w:hAnsi="宋体"/>
          <w:szCs w:val="21"/>
        </w:rPr>
        <w:t>中标通知书对招标人和中标人具有法律约束力。中标通知书发出后，招标人改变中标结果或者中标人放弃中标的，应当承担法律责任。</w:t>
      </w:r>
    </w:p>
    <w:p>
      <w:pPr>
        <w:spacing w:line="360" w:lineRule="auto"/>
        <w:outlineLvl w:val="1"/>
        <w:rPr>
          <w:rFonts w:ascii="宋体"/>
          <w:b/>
        </w:rPr>
      </w:pPr>
      <w:bookmarkStart w:id="417" w:name="_Toc10210456"/>
      <w:bookmarkStart w:id="418" w:name="_Toc8657509"/>
      <w:bookmarkStart w:id="419" w:name="_Toc15482"/>
      <w:r>
        <w:rPr>
          <w:rFonts w:ascii="宋体" w:hAnsi="宋体"/>
          <w:b/>
        </w:rPr>
        <w:t>8.</w:t>
      </w:r>
      <w:r>
        <w:rPr>
          <w:rFonts w:hint="eastAsia" w:ascii="宋体" w:hAnsi="宋体"/>
          <w:b/>
        </w:rPr>
        <w:t>合同签订</w:t>
      </w:r>
      <w:bookmarkEnd w:id="381"/>
      <w:bookmarkEnd w:id="382"/>
      <w:bookmarkEnd w:id="417"/>
      <w:bookmarkEnd w:id="418"/>
      <w:bookmarkEnd w:id="419"/>
    </w:p>
    <w:bookmarkEnd w:id="383"/>
    <w:bookmarkEnd w:id="384"/>
    <w:bookmarkEnd w:id="385"/>
    <w:bookmarkEnd w:id="386"/>
    <w:bookmarkEnd w:id="387"/>
    <w:bookmarkEnd w:id="388"/>
    <w:bookmarkEnd w:id="389"/>
    <w:bookmarkEnd w:id="390"/>
    <w:bookmarkEnd w:id="391"/>
    <w:bookmarkEnd w:id="392"/>
    <w:bookmarkEnd w:id="393"/>
    <w:p>
      <w:pPr>
        <w:pStyle w:val="22"/>
        <w:tabs>
          <w:tab w:val="left" w:pos="630"/>
        </w:tabs>
        <w:snapToGrid w:val="0"/>
        <w:spacing w:line="360" w:lineRule="auto"/>
        <w:ind w:firstLine="400" w:firstLineChars="200"/>
        <w:rPr>
          <w:rFonts w:hAnsi="宋体"/>
          <w:szCs w:val="21"/>
        </w:rPr>
      </w:pPr>
      <w:bookmarkStart w:id="420" w:name="_Toc488655867"/>
      <w:bookmarkStart w:id="421" w:name="_Toc447265549"/>
      <w:bookmarkStart w:id="422" w:name="_Toc447188707"/>
      <w:bookmarkStart w:id="423" w:name="_Toc107822519"/>
      <w:bookmarkStart w:id="424" w:name="_Toc226969312"/>
      <w:bookmarkStart w:id="425" w:name="_Toc447265263"/>
      <w:bookmarkStart w:id="426" w:name="_Toc227057918"/>
      <w:r>
        <w:rPr>
          <w:rFonts w:hAnsi="宋体"/>
          <w:szCs w:val="21"/>
        </w:rPr>
        <w:t>8.1</w:t>
      </w:r>
      <w:r>
        <w:rPr>
          <w:rFonts w:hint="eastAsia" w:hAnsi="宋体"/>
          <w:szCs w:val="21"/>
        </w:rPr>
        <w:t>招标人和中标人应当自中标通知书发出之日起</w:t>
      </w:r>
      <w:r>
        <w:rPr>
          <w:rFonts w:hAnsi="宋体"/>
          <w:szCs w:val="21"/>
        </w:rPr>
        <w:t>30</w:t>
      </w:r>
      <w:r>
        <w:rPr>
          <w:rFonts w:hint="eastAsia" w:hAnsi="宋体"/>
          <w:szCs w:val="21"/>
        </w:rPr>
        <w:t>日内，根据招标文件和中标人的投标文件订立书面合同。招标人和中标人不得订立背离合同实质性内容的其他协议。</w:t>
      </w:r>
    </w:p>
    <w:p>
      <w:pPr>
        <w:pStyle w:val="22"/>
        <w:tabs>
          <w:tab w:val="left" w:pos="630"/>
        </w:tabs>
        <w:snapToGrid w:val="0"/>
        <w:spacing w:line="360" w:lineRule="auto"/>
        <w:ind w:firstLine="400" w:firstLineChars="200"/>
        <w:rPr>
          <w:rFonts w:hAnsi="宋体"/>
          <w:szCs w:val="21"/>
        </w:rPr>
      </w:pPr>
      <w:r>
        <w:rPr>
          <w:rFonts w:hAnsi="宋体"/>
          <w:szCs w:val="21"/>
        </w:rPr>
        <w:t>8.2</w:t>
      </w:r>
      <w:r>
        <w:rPr>
          <w:rFonts w:hint="eastAsia" w:hAnsi="宋体"/>
          <w:szCs w:val="21"/>
        </w:rPr>
        <w:t>中标人无正当理由拒签合同的，招标人取消其中标资格。</w:t>
      </w:r>
    </w:p>
    <w:bookmarkEnd w:id="420"/>
    <w:bookmarkEnd w:id="421"/>
    <w:bookmarkEnd w:id="422"/>
    <w:bookmarkEnd w:id="423"/>
    <w:bookmarkEnd w:id="424"/>
    <w:bookmarkEnd w:id="425"/>
    <w:bookmarkEnd w:id="426"/>
    <w:p>
      <w:pPr>
        <w:spacing w:line="360" w:lineRule="auto"/>
        <w:outlineLvl w:val="1"/>
        <w:rPr>
          <w:rFonts w:ascii="宋体"/>
          <w:b/>
        </w:rPr>
      </w:pPr>
      <w:bookmarkStart w:id="427" w:name="_Toc447265550"/>
      <w:bookmarkStart w:id="428" w:name="_Toc30669"/>
      <w:bookmarkStart w:id="429" w:name="_Toc8657513"/>
      <w:bookmarkStart w:id="430" w:name="_Toc296602461"/>
      <w:bookmarkStart w:id="431" w:name="_Toc10210458"/>
      <w:bookmarkStart w:id="432" w:name="_Toc447188708"/>
      <w:bookmarkStart w:id="433" w:name="_Toc447265264"/>
      <w:r>
        <w:rPr>
          <w:rFonts w:ascii="宋体" w:hAnsi="宋体"/>
          <w:b/>
        </w:rPr>
        <w:t>9.</w:t>
      </w:r>
      <w:r>
        <w:rPr>
          <w:rFonts w:hint="eastAsia" w:ascii="宋体" w:hAnsi="宋体"/>
          <w:b/>
        </w:rPr>
        <w:t>纪律和监督</w:t>
      </w:r>
      <w:bookmarkEnd w:id="427"/>
      <w:bookmarkEnd w:id="428"/>
      <w:bookmarkEnd w:id="429"/>
      <w:bookmarkEnd w:id="430"/>
      <w:bookmarkEnd w:id="431"/>
      <w:bookmarkEnd w:id="432"/>
      <w:bookmarkEnd w:id="433"/>
    </w:p>
    <w:p>
      <w:pPr>
        <w:spacing w:line="360" w:lineRule="auto"/>
        <w:outlineLvl w:val="2"/>
        <w:rPr>
          <w:rFonts w:ascii="宋体"/>
          <w:b/>
        </w:rPr>
      </w:pPr>
      <w:bookmarkStart w:id="434" w:name="_Toc447265265"/>
      <w:bookmarkStart w:id="435" w:name="_Toc447265551"/>
      <w:bookmarkStart w:id="436" w:name="_Toc8657514"/>
      <w:bookmarkStart w:id="437" w:name="_Toc247085733"/>
      <w:bookmarkStart w:id="438" w:name="_Toc10210459"/>
      <w:bookmarkStart w:id="439" w:name="_Toc144974543"/>
      <w:bookmarkStart w:id="440" w:name="_Toc152045575"/>
      <w:bookmarkStart w:id="441" w:name="_Toc246996962"/>
      <w:bookmarkStart w:id="442" w:name="_Toc246996219"/>
      <w:bookmarkStart w:id="443" w:name="_Toc296602462"/>
      <w:bookmarkStart w:id="444" w:name="_Toc296590983"/>
      <w:bookmarkStart w:id="445" w:name="_Toc152042351"/>
      <w:bookmarkStart w:id="446" w:name="_Toc22781"/>
      <w:bookmarkStart w:id="447" w:name="_Toc179632593"/>
      <w:r>
        <w:rPr>
          <w:rFonts w:ascii="宋体" w:hAnsi="宋体"/>
          <w:b/>
        </w:rPr>
        <w:t>9.1</w:t>
      </w:r>
      <w:r>
        <w:rPr>
          <w:rFonts w:hint="eastAsia" w:ascii="宋体" w:hAnsi="宋体"/>
          <w:b/>
        </w:rPr>
        <w:t>对招标人的纪律要求</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pStyle w:val="22"/>
        <w:tabs>
          <w:tab w:val="left" w:pos="630"/>
        </w:tabs>
        <w:snapToGrid w:val="0"/>
        <w:spacing w:line="360" w:lineRule="auto"/>
        <w:ind w:firstLine="400" w:firstLineChars="200"/>
        <w:rPr>
          <w:rFonts w:hAnsi="宋体"/>
          <w:szCs w:val="21"/>
        </w:rPr>
      </w:pPr>
      <w:r>
        <w:rPr>
          <w:rFonts w:hint="eastAsia" w:hAnsi="宋体"/>
          <w:szCs w:val="21"/>
        </w:rPr>
        <w:t>招标人不得泄漏招标投标活动中应当保密的情况和资料，不得与投标人串通损害国家利益、社会公共利益或者他人合法权益。</w:t>
      </w:r>
    </w:p>
    <w:p>
      <w:pPr>
        <w:spacing w:line="360" w:lineRule="auto"/>
        <w:outlineLvl w:val="2"/>
        <w:rPr>
          <w:rFonts w:ascii="宋体"/>
          <w:b/>
        </w:rPr>
      </w:pPr>
      <w:bookmarkStart w:id="448" w:name="_Toc296602463"/>
      <w:bookmarkStart w:id="449" w:name="_Toc10210460"/>
      <w:bookmarkStart w:id="450" w:name="_Toc447265552"/>
      <w:bookmarkStart w:id="451" w:name="_Toc246996963"/>
      <w:bookmarkStart w:id="452" w:name="_Toc447265266"/>
      <w:bookmarkStart w:id="453" w:name="_Toc179632594"/>
      <w:bookmarkStart w:id="454" w:name="_Toc8657515"/>
      <w:bookmarkStart w:id="455" w:name="_Toc152042352"/>
      <w:bookmarkStart w:id="456" w:name="_Toc152045576"/>
      <w:bookmarkStart w:id="457" w:name="_Toc246996220"/>
      <w:bookmarkStart w:id="458" w:name="_Toc247085734"/>
      <w:bookmarkStart w:id="459" w:name="_Toc144974544"/>
      <w:bookmarkStart w:id="460" w:name="_Toc483"/>
      <w:r>
        <w:rPr>
          <w:rFonts w:ascii="宋体" w:hAnsi="宋体"/>
          <w:b/>
        </w:rPr>
        <w:t>9.2</w:t>
      </w:r>
      <w:r>
        <w:rPr>
          <w:rFonts w:hint="eastAsia" w:ascii="宋体" w:hAnsi="宋体"/>
          <w:b/>
        </w:rPr>
        <w:t>对投标人的纪律要求</w:t>
      </w:r>
      <w:bookmarkEnd w:id="448"/>
      <w:bookmarkEnd w:id="449"/>
      <w:bookmarkEnd w:id="450"/>
      <w:bookmarkEnd w:id="451"/>
      <w:bookmarkEnd w:id="452"/>
      <w:bookmarkEnd w:id="453"/>
      <w:bookmarkEnd w:id="454"/>
      <w:bookmarkEnd w:id="455"/>
      <w:bookmarkEnd w:id="456"/>
      <w:bookmarkEnd w:id="457"/>
      <w:bookmarkEnd w:id="458"/>
      <w:bookmarkEnd w:id="459"/>
      <w:bookmarkEnd w:id="460"/>
    </w:p>
    <w:p>
      <w:pPr>
        <w:pStyle w:val="22"/>
        <w:tabs>
          <w:tab w:val="left" w:pos="630"/>
        </w:tabs>
        <w:snapToGrid w:val="0"/>
        <w:spacing w:line="360" w:lineRule="auto"/>
        <w:ind w:firstLine="400" w:firstLineChars="200"/>
        <w:rPr>
          <w:rFonts w:hAnsi="宋体"/>
          <w:szCs w:val="21"/>
        </w:rPr>
      </w:pPr>
      <w:r>
        <w:rPr>
          <w:rFonts w:hint="eastAsia" w:hAnsi="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outlineLvl w:val="2"/>
        <w:rPr>
          <w:rFonts w:ascii="宋体"/>
          <w:b/>
        </w:rPr>
      </w:pPr>
      <w:bookmarkStart w:id="461" w:name="_Toc447265267"/>
      <w:bookmarkStart w:id="462" w:name="_Toc246996221"/>
      <w:bookmarkStart w:id="463" w:name="_Toc8657516"/>
      <w:bookmarkStart w:id="464" w:name="_Toc152045577"/>
      <w:bookmarkStart w:id="465" w:name="_Toc144974545"/>
      <w:bookmarkStart w:id="466" w:name="_Toc247085735"/>
      <w:bookmarkStart w:id="467" w:name="_Toc20481"/>
      <w:bookmarkStart w:id="468" w:name="_Toc152042353"/>
      <w:bookmarkStart w:id="469" w:name="_Toc179632595"/>
      <w:bookmarkStart w:id="470" w:name="_Toc447265553"/>
      <w:bookmarkStart w:id="471" w:name="_Toc246996964"/>
      <w:bookmarkStart w:id="472" w:name="_Toc10210461"/>
      <w:bookmarkStart w:id="473" w:name="_Toc296602464"/>
      <w:r>
        <w:rPr>
          <w:rFonts w:ascii="宋体" w:hAnsi="宋体"/>
          <w:b/>
        </w:rPr>
        <w:t>9.3</w:t>
      </w:r>
      <w:r>
        <w:rPr>
          <w:rFonts w:hint="eastAsia" w:ascii="宋体" w:hAnsi="宋体"/>
          <w:b/>
        </w:rPr>
        <w:t>对评标委员会成员的纪律要求</w:t>
      </w:r>
      <w:bookmarkEnd w:id="461"/>
      <w:bookmarkEnd w:id="462"/>
      <w:bookmarkEnd w:id="463"/>
      <w:bookmarkEnd w:id="464"/>
      <w:bookmarkEnd w:id="465"/>
      <w:bookmarkEnd w:id="466"/>
      <w:bookmarkEnd w:id="467"/>
      <w:bookmarkEnd w:id="468"/>
      <w:bookmarkEnd w:id="469"/>
      <w:bookmarkEnd w:id="470"/>
      <w:bookmarkEnd w:id="471"/>
      <w:bookmarkEnd w:id="472"/>
      <w:bookmarkEnd w:id="473"/>
    </w:p>
    <w:p>
      <w:pPr>
        <w:pStyle w:val="22"/>
        <w:tabs>
          <w:tab w:val="left" w:pos="630"/>
        </w:tabs>
        <w:snapToGrid w:val="0"/>
        <w:spacing w:line="360" w:lineRule="auto"/>
        <w:ind w:firstLine="400" w:firstLineChars="200"/>
        <w:rPr>
          <w:rFonts w:hAnsi="宋体"/>
          <w:szCs w:val="21"/>
        </w:rPr>
      </w:pPr>
      <w:r>
        <w:rPr>
          <w:rFonts w:hint="eastAsia" w:hAnsi="宋体"/>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outlineLvl w:val="2"/>
        <w:rPr>
          <w:rFonts w:ascii="宋体"/>
          <w:b/>
        </w:rPr>
      </w:pPr>
      <w:bookmarkStart w:id="474" w:name="_Toc152045578"/>
      <w:bookmarkStart w:id="475" w:name="_Toc179632596"/>
      <w:bookmarkStart w:id="476" w:name="_Toc447265268"/>
      <w:bookmarkStart w:id="477" w:name="_Toc447265554"/>
      <w:bookmarkStart w:id="478" w:name="_Toc296602465"/>
      <w:bookmarkStart w:id="479" w:name="_Toc152042354"/>
      <w:bookmarkStart w:id="480" w:name="_Toc246996222"/>
      <w:bookmarkStart w:id="481" w:name="_Toc10210462"/>
      <w:bookmarkStart w:id="482" w:name="_Toc8657517"/>
      <w:bookmarkStart w:id="483" w:name="_Toc16553"/>
      <w:bookmarkStart w:id="484" w:name="_Toc246996965"/>
      <w:bookmarkStart w:id="485" w:name="_Toc247085736"/>
      <w:bookmarkStart w:id="486" w:name="_Toc144974546"/>
      <w:r>
        <w:rPr>
          <w:rFonts w:ascii="宋体" w:hAnsi="宋体"/>
          <w:b/>
        </w:rPr>
        <w:t>9.4</w:t>
      </w:r>
      <w:r>
        <w:rPr>
          <w:rFonts w:hint="eastAsia" w:ascii="宋体" w:hAnsi="宋体"/>
          <w:b/>
        </w:rPr>
        <w:t>对与评标活动有关的工作人员的纪律要求</w:t>
      </w:r>
      <w:bookmarkEnd w:id="474"/>
      <w:bookmarkEnd w:id="475"/>
      <w:bookmarkEnd w:id="476"/>
      <w:bookmarkEnd w:id="477"/>
      <w:bookmarkEnd w:id="478"/>
      <w:bookmarkEnd w:id="479"/>
      <w:bookmarkEnd w:id="480"/>
      <w:bookmarkEnd w:id="481"/>
      <w:bookmarkEnd w:id="482"/>
      <w:bookmarkEnd w:id="483"/>
      <w:bookmarkEnd w:id="484"/>
      <w:bookmarkEnd w:id="485"/>
    </w:p>
    <w:p>
      <w:pPr>
        <w:pStyle w:val="22"/>
        <w:tabs>
          <w:tab w:val="left" w:pos="630"/>
        </w:tabs>
        <w:snapToGrid w:val="0"/>
        <w:spacing w:line="360" w:lineRule="auto"/>
        <w:ind w:firstLine="400" w:firstLineChars="200"/>
        <w:rPr>
          <w:rFonts w:hAnsi="宋体"/>
          <w:szCs w:val="21"/>
        </w:rPr>
      </w:pPr>
      <w:bookmarkStart w:id="487" w:name="_Toc152042355"/>
      <w:r>
        <w:rPr>
          <w:rFonts w:hint="eastAsia" w:hAnsi="宋体"/>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487"/>
    </w:p>
    <w:p>
      <w:pPr>
        <w:spacing w:line="360" w:lineRule="auto"/>
        <w:outlineLvl w:val="2"/>
        <w:rPr>
          <w:rFonts w:ascii="宋体"/>
          <w:b/>
        </w:rPr>
      </w:pPr>
      <w:bookmarkStart w:id="488" w:name="_Toc8657518"/>
      <w:bookmarkStart w:id="489" w:name="_Toc152042356"/>
      <w:bookmarkStart w:id="490" w:name="_Toc179632597"/>
      <w:bookmarkStart w:id="491" w:name="_Toc246996966"/>
      <w:bookmarkStart w:id="492" w:name="_Toc447265269"/>
      <w:bookmarkStart w:id="493" w:name="_Toc247085737"/>
      <w:bookmarkStart w:id="494" w:name="_Toc10210463"/>
      <w:bookmarkStart w:id="495" w:name="_Toc152045579"/>
      <w:bookmarkStart w:id="496" w:name="_Toc246996223"/>
      <w:bookmarkStart w:id="497" w:name="_Toc296602466"/>
      <w:bookmarkStart w:id="498" w:name="_Toc32085"/>
      <w:bookmarkStart w:id="499" w:name="_Toc447265555"/>
      <w:r>
        <w:rPr>
          <w:rFonts w:ascii="宋体" w:hAnsi="宋体"/>
          <w:b/>
        </w:rPr>
        <w:t>9.5</w:t>
      </w:r>
      <w:r>
        <w:rPr>
          <w:rFonts w:hint="eastAsia" w:ascii="宋体" w:hAnsi="宋体"/>
          <w:b/>
        </w:rPr>
        <w:t>投诉</w:t>
      </w:r>
      <w:bookmarkEnd w:id="486"/>
      <w:bookmarkEnd w:id="488"/>
      <w:bookmarkEnd w:id="489"/>
      <w:bookmarkEnd w:id="490"/>
      <w:bookmarkEnd w:id="491"/>
      <w:bookmarkEnd w:id="492"/>
      <w:bookmarkEnd w:id="493"/>
      <w:bookmarkEnd w:id="494"/>
      <w:bookmarkEnd w:id="495"/>
      <w:bookmarkEnd w:id="496"/>
      <w:bookmarkEnd w:id="497"/>
      <w:bookmarkEnd w:id="498"/>
      <w:bookmarkEnd w:id="499"/>
    </w:p>
    <w:p>
      <w:pPr>
        <w:pStyle w:val="22"/>
        <w:tabs>
          <w:tab w:val="left" w:pos="630"/>
        </w:tabs>
        <w:snapToGrid w:val="0"/>
        <w:spacing w:line="360" w:lineRule="auto"/>
        <w:ind w:firstLine="400" w:firstLineChars="200"/>
        <w:rPr>
          <w:rFonts w:hAnsi="宋体"/>
          <w:szCs w:val="21"/>
        </w:rPr>
      </w:pPr>
      <w:r>
        <w:rPr>
          <w:rFonts w:hint="eastAsia" w:hAnsi="宋体"/>
          <w:szCs w:val="21"/>
        </w:rPr>
        <w:t>投标人或者其他利害关系人认为招标投标活动不符合法律、法规规定的，可以自知道或者应当知道之日起</w:t>
      </w:r>
      <w:r>
        <w:rPr>
          <w:rFonts w:hAnsi="宋体"/>
          <w:szCs w:val="21"/>
        </w:rPr>
        <w:t>10</w:t>
      </w:r>
      <w:r>
        <w:rPr>
          <w:rFonts w:hint="eastAsia" w:hAnsi="宋体"/>
          <w:szCs w:val="21"/>
        </w:rPr>
        <w:t>日内向有关行政监督部门投诉。投诉应当有明确的请求和必要的证明材料。就招标文件、开标、中标候选人公示投诉的，应当先向招标人提出异议，异议答复期间不计算在前款规定的期限内。</w:t>
      </w:r>
    </w:p>
    <w:p>
      <w:pPr>
        <w:pStyle w:val="77"/>
        <w:spacing w:before="0" w:after="0" w:line="360" w:lineRule="auto"/>
        <w:rPr>
          <w:rStyle w:val="48"/>
          <w:rFonts w:hint="eastAsia"/>
          <w:b/>
          <w:bCs w:val="0"/>
          <w:sz w:val="28"/>
          <w:szCs w:val="28"/>
        </w:rPr>
      </w:pPr>
      <w:bookmarkStart w:id="500" w:name="_Toc447265559"/>
      <w:bookmarkStart w:id="501" w:name="_Toc447265273"/>
      <w:r>
        <w:rPr>
          <w:rFonts w:ascii="宋体" w:hAnsi="宋体" w:eastAsia="宋体" w:cs="宋体"/>
          <w:b/>
          <w:bCs w:val="0"/>
          <w:kern w:val="0"/>
          <w:sz w:val="28"/>
          <w:szCs w:val="28"/>
        </w:rPr>
        <w:br w:type="page"/>
      </w:r>
      <w:bookmarkStart w:id="502" w:name="_Toc16175985"/>
      <w:bookmarkStart w:id="503" w:name="_Toc32110"/>
      <w:r>
        <w:rPr>
          <w:rStyle w:val="48"/>
          <w:rFonts w:hint="eastAsia"/>
          <w:b/>
          <w:bCs w:val="0"/>
          <w:sz w:val="28"/>
          <w:szCs w:val="28"/>
        </w:rPr>
        <w:t>第三章  评标办法（综合评标法）</w:t>
      </w:r>
      <w:bookmarkEnd w:id="500"/>
      <w:bookmarkEnd w:id="501"/>
      <w:bookmarkEnd w:id="502"/>
      <w:bookmarkEnd w:id="503"/>
    </w:p>
    <w:p>
      <w:pPr>
        <w:pStyle w:val="6"/>
        <w:topLinePunct/>
        <w:autoSpaceDE/>
        <w:autoSpaceDN/>
        <w:snapToGrid w:val="0"/>
        <w:spacing w:line="360" w:lineRule="auto"/>
        <w:ind w:firstLine="0"/>
        <w:jc w:val="center"/>
        <w:rPr>
          <w:rFonts w:ascii="宋体" w:hAnsi="宋体" w:eastAsia="宋体"/>
          <w:b/>
          <w:bCs/>
          <w:sz w:val="21"/>
          <w:szCs w:val="21"/>
        </w:rPr>
      </w:pPr>
    </w:p>
    <w:p>
      <w:pPr>
        <w:pStyle w:val="6"/>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一、总则</w:t>
      </w:r>
    </w:p>
    <w:p>
      <w:pPr>
        <w:spacing w:line="360" w:lineRule="auto"/>
        <w:ind w:firstLine="422" w:firstLineChars="200"/>
        <w:rPr>
          <w:rFonts w:ascii="宋体"/>
          <w:b/>
          <w:bCs/>
          <w:szCs w:val="21"/>
        </w:rPr>
      </w:pPr>
      <w:r>
        <w:rPr>
          <w:rFonts w:hint="eastAsia" w:ascii="宋体" w:hAnsi="宋体"/>
          <w:b/>
          <w:bCs/>
          <w:szCs w:val="21"/>
        </w:rPr>
        <w:t>第一条</w:t>
      </w:r>
      <w:r>
        <w:rPr>
          <w:rFonts w:ascii="宋体" w:hAnsi="宋体"/>
          <w:b/>
          <w:bCs/>
          <w:szCs w:val="21"/>
        </w:rPr>
        <w:t xml:space="preserve">  </w:t>
      </w:r>
      <w:r>
        <w:rPr>
          <w:rFonts w:hint="eastAsia" w:ascii="宋体" w:hAnsi="宋体"/>
          <w:bCs/>
          <w:szCs w:val="21"/>
        </w:rPr>
        <w:t>本项目采用综合评标法。</w:t>
      </w:r>
    </w:p>
    <w:p>
      <w:pPr>
        <w:spacing w:line="360" w:lineRule="auto"/>
        <w:ind w:firstLine="422" w:firstLineChars="200"/>
        <w:rPr>
          <w:rFonts w:ascii="宋体" w:hAnsi="宋体"/>
          <w:szCs w:val="21"/>
        </w:rPr>
      </w:pPr>
      <w:r>
        <w:rPr>
          <w:rFonts w:hint="eastAsia" w:ascii="宋体" w:hAnsi="宋体"/>
          <w:b/>
          <w:bCs/>
          <w:szCs w:val="21"/>
        </w:rPr>
        <w:t>第二条</w:t>
      </w:r>
      <w:r>
        <w:rPr>
          <w:rFonts w:ascii="宋体" w:hAnsi="宋体"/>
          <w:b/>
          <w:bCs/>
          <w:szCs w:val="21"/>
        </w:rPr>
        <w:t xml:space="preserve">  </w:t>
      </w:r>
      <w:r>
        <w:rPr>
          <w:rFonts w:hint="eastAsia" w:ascii="宋体" w:hAnsi="宋体"/>
          <w:szCs w:val="21"/>
        </w:rPr>
        <w:t>评标委员会依据招标文件中规定的标准、办法对投标文件进行评审，任何其他的外部证据均不得作为评标的依据。评标委员会对满足招标文件实质性要求的投标文件，按评分标准进行打分，并按得分由高到低顺序推荐中标候选人，得分相等时，按投标报价得分高者优先，投标报价得分也相等的，按服务方案得分由高到低顺序推荐中标候选人。</w:t>
      </w:r>
    </w:p>
    <w:p>
      <w:pPr>
        <w:pStyle w:val="6"/>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二、资格审查</w:t>
      </w:r>
    </w:p>
    <w:p>
      <w:pPr>
        <w:spacing w:line="360" w:lineRule="auto"/>
        <w:ind w:firstLine="422" w:firstLineChars="200"/>
        <w:rPr>
          <w:rFonts w:ascii="宋体"/>
          <w:kern w:val="0"/>
          <w:szCs w:val="21"/>
        </w:rPr>
      </w:pPr>
      <w:r>
        <w:rPr>
          <w:rFonts w:hint="eastAsia" w:ascii="宋体" w:hAnsi="宋体"/>
          <w:b/>
          <w:kern w:val="0"/>
          <w:szCs w:val="21"/>
        </w:rPr>
        <w:t>第三条</w:t>
      </w:r>
      <w:r>
        <w:rPr>
          <w:rFonts w:ascii="宋体" w:hAnsi="宋体"/>
          <w:kern w:val="0"/>
          <w:szCs w:val="21"/>
        </w:rPr>
        <w:t xml:space="preserve">  </w:t>
      </w:r>
      <w:r>
        <w:rPr>
          <w:rFonts w:hint="eastAsia" w:ascii="宋体" w:hAnsi="宋体"/>
          <w:kern w:val="0"/>
          <w:szCs w:val="21"/>
        </w:rPr>
        <w:t>评标委员会按照招标文件相关的要求，对所有投标文件进行资格审查，资格审查有一项不符合招标文件要求的，其投标文件按无效处理，不进入初步评审，</w:t>
      </w:r>
      <w:r>
        <w:rPr>
          <w:rFonts w:hint="eastAsia" w:ascii="宋体" w:hAnsi="宋体"/>
          <w:szCs w:val="21"/>
        </w:rPr>
        <w:t>资格审查内容如下：</w:t>
      </w:r>
    </w:p>
    <w:p>
      <w:pPr>
        <w:pStyle w:val="36"/>
        <w:shd w:val="clear" w:color="auto" w:fill="FFFFFF"/>
        <w:spacing w:before="0" w:beforeAutospacing="0" w:after="0" w:afterAutospacing="0" w:line="380" w:lineRule="exact"/>
        <w:ind w:firstLine="420" w:firstLineChars="200"/>
        <w:rPr>
          <w:rFonts w:hint="eastAsia" w:cs="Times New Roman"/>
          <w:kern w:val="2"/>
          <w:sz w:val="21"/>
          <w:szCs w:val="21"/>
        </w:rPr>
      </w:pPr>
      <w:r>
        <w:rPr>
          <w:rFonts w:cs="Times New Roman"/>
          <w:kern w:val="2"/>
          <w:sz w:val="21"/>
          <w:szCs w:val="21"/>
        </w:rPr>
        <w:t>1</w:t>
      </w:r>
      <w:r>
        <w:rPr>
          <w:rFonts w:hint="eastAsia" w:cs="Times New Roman"/>
          <w:kern w:val="2"/>
          <w:sz w:val="21"/>
          <w:szCs w:val="21"/>
        </w:rPr>
        <w:t>、投标人应为中华人民共和国境内依法注册的独立企业法人机构或其他组织，具有有效的营业执照或事业单位法人证书，应包含相应的经营范围或业务范围（提供有效的营业执照或事业单位法人证书）；</w:t>
      </w:r>
    </w:p>
    <w:p>
      <w:pPr>
        <w:pStyle w:val="36"/>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2、符合《中华人民共和国招标投标法》对投标人其他资质要求；</w:t>
      </w:r>
    </w:p>
    <w:p>
      <w:pPr>
        <w:pStyle w:val="36"/>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3、投标人须为未被列入“信用中国”网站（</w:t>
      </w:r>
      <w:r>
        <w:rPr>
          <w:rFonts w:cs="Times New Roman"/>
          <w:kern w:val="2"/>
          <w:sz w:val="21"/>
          <w:szCs w:val="21"/>
        </w:rPr>
        <w:t>www.creditchina.gov.cn</w:t>
      </w:r>
      <w:r>
        <w:rPr>
          <w:rFonts w:hint="eastAsia" w:cs="Times New Roman"/>
          <w:kern w:val="2"/>
          <w:sz w:val="21"/>
          <w:szCs w:val="21"/>
        </w:rPr>
        <w:t>）记录失信被执行人或重大税收违法案件当事人名单或政府采购严重违法失信行为记录名单；不处于中国政府采购网（</w:t>
      </w:r>
      <w:r>
        <w:rPr>
          <w:rFonts w:cs="Times New Roman"/>
          <w:kern w:val="2"/>
          <w:sz w:val="21"/>
          <w:szCs w:val="21"/>
        </w:rPr>
        <w:t>www.ccgp.gov.cn</w:t>
      </w:r>
      <w:r>
        <w:rPr>
          <w:rFonts w:hint="eastAsia" w:cs="Times New Roman"/>
          <w:kern w:val="2"/>
          <w:sz w:val="21"/>
          <w:szCs w:val="21"/>
        </w:rPr>
        <w:t>）政府采购严重违法失信行为信息记录中的禁止参加政府采购活动期间等的方可参加本项目的投标。（时间以投标截止日前五个工作日至投标截止日查询结果为准，投标人须将查询后的网页截图加盖单位公章后装入投标文件内，查询结果以开标当天现场查询结果为准）；</w:t>
      </w:r>
    </w:p>
    <w:p>
      <w:pPr>
        <w:pStyle w:val="36"/>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4、单位负责人为同一人或者存在控股、管理关系的不同单位，不得同时参加投标；</w:t>
      </w:r>
    </w:p>
    <w:p>
      <w:pPr>
        <w:pStyle w:val="36"/>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5、本项目不接受联合体投标。</w:t>
      </w:r>
    </w:p>
    <w:p>
      <w:pPr>
        <w:pStyle w:val="6"/>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三、初步评审</w:t>
      </w:r>
    </w:p>
    <w:p>
      <w:pPr>
        <w:spacing w:line="360" w:lineRule="auto"/>
        <w:ind w:firstLine="422" w:firstLineChars="200"/>
        <w:rPr>
          <w:rFonts w:ascii="宋体"/>
          <w:bCs/>
          <w:szCs w:val="21"/>
        </w:rPr>
      </w:pPr>
      <w:r>
        <w:rPr>
          <w:rFonts w:hint="eastAsia" w:ascii="宋体" w:hAnsi="宋体"/>
          <w:b/>
          <w:bCs/>
          <w:szCs w:val="21"/>
        </w:rPr>
        <w:t>第四条</w:t>
      </w:r>
      <w:r>
        <w:rPr>
          <w:rFonts w:ascii="宋体" w:hAnsi="宋体"/>
          <w:bCs/>
          <w:szCs w:val="21"/>
        </w:rPr>
        <w:t xml:space="preserve">  </w:t>
      </w:r>
      <w:r>
        <w:rPr>
          <w:rFonts w:hint="eastAsia" w:ascii="宋体" w:hAnsi="宋体"/>
          <w:bCs/>
          <w:szCs w:val="21"/>
        </w:rPr>
        <w:t>对通过资格审查的投标文件进行初步评审。通过初步评审的投标文件，方可进入下一阶段详细评审。</w:t>
      </w:r>
    </w:p>
    <w:p>
      <w:pPr>
        <w:spacing w:line="360" w:lineRule="auto"/>
        <w:ind w:firstLine="422" w:firstLineChars="200"/>
        <w:rPr>
          <w:rFonts w:ascii="宋体"/>
          <w:bCs/>
          <w:szCs w:val="21"/>
        </w:rPr>
      </w:pPr>
      <w:r>
        <w:rPr>
          <w:rFonts w:hint="eastAsia" w:ascii="宋体" w:hAnsi="宋体"/>
          <w:b/>
          <w:bCs/>
          <w:szCs w:val="21"/>
        </w:rPr>
        <w:t>第五条</w:t>
      </w:r>
      <w:r>
        <w:rPr>
          <w:rFonts w:ascii="宋体" w:hAnsi="宋体"/>
          <w:bCs/>
          <w:szCs w:val="21"/>
        </w:rPr>
        <w:t xml:space="preserve">  </w:t>
      </w:r>
      <w:r>
        <w:rPr>
          <w:rFonts w:hint="eastAsia" w:ascii="宋体" w:hAnsi="宋体"/>
          <w:bCs/>
          <w:szCs w:val="21"/>
        </w:rPr>
        <w:t>初步评审过程中，投标文件出现下列情形之一的，将作为无效投标文件，按无效投标处理，不再进入详细评标：</w:t>
      </w:r>
    </w:p>
    <w:p>
      <w:pPr>
        <w:pStyle w:val="36"/>
        <w:shd w:val="clear" w:color="auto" w:fill="FFFFFF"/>
        <w:spacing w:before="0" w:beforeAutospacing="0" w:after="0" w:afterAutospacing="0" w:line="360" w:lineRule="auto"/>
        <w:ind w:firstLine="420" w:firstLineChars="200"/>
        <w:rPr>
          <w:rFonts w:cs="Times New Roman"/>
          <w:kern w:val="2"/>
          <w:sz w:val="21"/>
          <w:szCs w:val="21"/>
        </w:rPr>
      </w:pPr>
      <w:r>
        <w:rPr>
          <w:rFonts w:cs="Times New Roman"/>
          <w:kern w:val="2"/>
          <w:sz w:val="21"/>
          <w:szCs w:val="21"/>
        </w:rPr>
        <w:t>1</w:t>
      </w:r>
      <w:r>
        <w:rPr>
          <w:rFonts w:hint="eastAsia" w:cs="Times New Roman"/>
          <w:kern w:val="2"/>
          <w:sz w:val="21"/>
          <w:szCs w:val="21"/>
        </w:rPr>
        <w:t>、投标文件未按招标文件要求加盖单位公章或未经法定代表人或其授权代表签字或盖章的；</w:t>
      </w:r>
    </w:p>
    <w:p>
      <w:pPr>
        <w:pStyle w:val="36"/>
        <w:shd w:val="clear" w:color="auto" w:fill="FFFFFF"/>
        <w:spacing w:before="0" w:beforeAutospacing="0" w:after="0" w:afterAutospacing="0" w:line="360" w:lineRule="auto"/>
        <w:ind w:firstLine="420" w:firstLineChars="200"/>
        <w:rPr>
          <w:rFonts w:cs="Times New Roman"/>
          <w:kern w:val="2"/>
          <w:sz w:val="21"/>
          <w:szCs w:val="21"/>
        </w:rPr>
      </w:pPr>
      <w:r>
        <w:rPr>
          <w:rFonts w:cs="Times New Roman"/>
          <w:kern w:val="2"/>
          <w:sz w:val="21"/>
          <w:szCs w:val="21"/>
        </w:rPr>
        <w:t>2</w:t>
      </w:r>
      <w:r>
        <w:rPr>
          <w:rFonts w:hint="eastAsia" w:cs="Times New Roman"/>
          <w:kern w:val="2"/>
          <w:sz w:val="21"/>
          <w:szCs w:val="21"/>
        </w:rPr>
        <w:t>、投标人递交两份或者多份内容不同的投标文件，或者在一份投标文件中对同一招标项目报有两个或者多个报价，且未声明哪一个有效的。按招标文件规定提交备选投标方案的除外；</w:t>
      </w:r>
    </w:p>
    <w:p>
      <w:pPr>
        <w:pStyle w:val="36"/>
        <w:shd w:val="clear" w:color="auto" w:fill="FFFFFF"/>
        <w:spacing w:before="0" w:beforeAutospacing="0" w:after="0" w:afterAutospacing="0" w:line="360" w:lineRule="auto"/>
        <w:ind w:firstLine="420" w:firstLineChars="200"/>
        <w:rPr>
          <w:rFonts w:cs="Times New Roman"/>
          <w:kern w:val="2"/>
          <w:sz w:val="21"/>
          <w:szCs w:val="21"/>
        </w:rPr>
      </w:pPr>
      <w:r>
        <w:rPr>
          <w:rFonts w:hint="eastAsia" w:cs="Times New Roman"/>
          <w:kern w:val="2"/>
          <w:sz w:val="21"/>
          <w:szCs w:val="21"/>
        </w:rPr>
        <w:t>3、投标报价不符合招标文件要求的，或者低于其成本恶意竞标的，或者高于招标文件设定的最高投标限价的；</w:t>
      </w:r>
    </w:p>
    <w:p>
      <w:pPr>
        <w:pStyle w:val="36"/>
        <w:shd w:val="clear" w:color="auto" w:fill="FFFFFF"/>
        <w:spacing w:before="0" w:beforeAutospacing="0" w:after="0" w:afterAutospacing="0" w:line="360" w:lineRule="auto"/>
        <w:ind w:firstLine="420" w:firstLineChars="200"/>
        <w:rPr>
          <w:rFonts w:cs="Times New Roman"/>
          <w:kern w:val="2"/>
          <w:sz w:val="21"/>
          <w:szCs w:val="21"/>
        </w:rPr>
      </w:pPr>
      <w:r>
        <w:rPr>
          <w:rFonts w:hint="eastAsia" w:cs="Times New Roman"/>
          <w:kern w:val="2"/>
          <w:sz w:val="21"/>
          <w:szCs w:val="21"/>
        </w:rPr>
        <w:t>4、未响应招标文件的实质性要求和条件；</w:t>
      </w:r>
    </w:p>
    <w:p>
      <w:pPr>
        <w:pStyle w:val="36"/>
        <w:shd w:val="clear" w:color="auto" w:fill="FFFFFF"/>
        <w:spacing w:before="0" w:beforeAutospacing="0" w:after="0" w:afterAutospacing="0" w:line="360" w:lineRule="auto"/>
        <w:ind w:firstLine="420" w:firstLineChars="200"/>
        <w:rPr>
          <w:rFonts w:cs="Times New Roman"/>
          <w:kern w:val="2"/>
          <w:sz w:val="21"/>
          <w:szCs w:val="21"/>
        </w:rPr>
      </w:pPr>
      <w:r>
        <w:rPr>
          <w:rFonts w:hint="eastAsia" w:cs="Times New Roman"/>
          <w:kern w:val="2"/>
          <w:sz w:val="21"/>
          <w:szCs w:val="21"/>
        </w:rPr>
        <w:t>5、投标文件附有招标人不能接受的条件；</w:t>
      </w:r>
    </w:p>
    <w:p>
      <w:pPr>
        <w:pStyle w:val="36"/>
        <w:shd w:val="clear" w:color="auto" w:fill="FFFFFF"/>
        <w:spacing w:before="0" w:beforeAutospacing="0" w:after="0" w:afterAutospacing="0" w:line="360" w:lineRule="auto"/>
        <w:ind w:firstLine="420" w:firstLineChars="200"/>
        <w:rPr>
          <w:rFonts w:cs="Times New Roman"/>
          <w:kern w:val="2"/>
          <w:sz w:val="21"/>
          <w:szCs w:val="21"/>
        </w:rPr>
      </w:pPr>
      <w:r>
        <w:rPr>
          <w:rFonts w:hint="eastAsia" w:cs="Times New Roman"/>
          <w:kern w:val="2"/>
          <w:sz w:val="21"/>
          <w:szCs w:val="21"/>
        </w:rPr>
        <w:t>6、投标文件中有违反法律法规的其他规定的。</w:t>
      </w:r>
    </w:p>
    <w:p>
      <w:pPr>
        <w:pStyle w:val="6"/>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四、详细评审</w:t>
      </w:r>
    </w:p>
    <w:p>
      <w:pPr>
        <w:spacing w:line="360" w:lineRule="auto"/>
        <w:ind w:firstLine="420" w:firstLineChars="200"/>
        <w:rPr>
          <w:rFonts w:ascii="宋体"/>
          <w:kern w:val="0"/>
          <w:szCs w:val="21"/>
        </w:rPr>
      </w:pPr>
      <w:r>
        <w:rPr>
          <w:rFonts w:ascii="宋体" w:hAnsi="宋体"/>
          <w:kern w:val="0"/>
          <w:szCs w:val="21"/>
        </w:rPr>
        <w:t>1</w:t>
      </w:r>
      <w:r>
        <w:rPr>
          <w:rFonts w:hint="eastAsia" w:ascii="宋体" w:hAnsi="宋体"/>
          <w:kern w:val="0"/>
          <w:szCs w:val="21"/>
        </w:rPr>
        <w:t>、分值构成（总分</w:t>
      </w:r>
      <w:r>
        <w:rPr>
          <w:rFonts w:ascii="宋体" w:hAnsi="宋体"/>
          <w:kern w:val="0"/>
          <w:szCs w:val="21"/>
        </w:rPr>
        <w:t>100</w:t>
      </w:r>
      <w:r>
        <w:rPr>
          <w:rFonts w:hint="eastAsia" w:ascii="宋体" w:hAnsi="宋体"/>
          <w:kern w:val="0"/>
          <w:szCs w:val="21"/>
        </w:rPr>
        <w:t>分）</w:t>
      </w:r>
    </w:p>
    <w:p>
      <w:pPr>
        <w:spacing w:line="360" w:lineRule="auto"/>
        <w:ind w:firstLine="420" w:firstLineChars="200"/>
        <w:rPr>
          <w:rFonts w:asci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）投标报价部分：满分7</w:t>
      </w:r>
      <w:r>
        <w:rPr>
          <w:rFonts w:ascii="宋体"/>
          <w:kern w:val="0"/>
          <w:szCs w:val="21"/>
        </w:rPr>
        <w:t>0</w:t>
      </w:r>
      <w:r>
        <w:rPr>
          <w:rFonts w:hint="eastAsia" w:ascii="宋体" w:hAnsi="宋体"/>
          <w:kern w:val="0"/>
          <w:szCs w:val="21"/>
        </w:rPr>
        <w:t>分；</w:t>
      </w:r>
    </w:p>
    <w:p>
      <w:pPr>
        <w:spacing w:line="360" w:lineRule="auto"/>
        <w:ind w:firstLine="420" w:firstLineChars="200"/>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）详细评审部分：满分3</w:t>
      </w:r>
      <w:r>
        <w:rPr>
          <w:rFonts w:ascii="宋体"/>
          <w:kern w:val="0"/>
          <w:szCs w:val="21"/>
        </w:rPr>
        <w:t>0</w:t>
      </w:r>
      <w:r>
        <w:rPr>
          <w:rFonts w:hint="eastAsia" w:ascii="宋体" w:hAnsi="宋体"/>
          <w:kern w:val="0"/>
          <w:szCs w:val="21"/>
        </w:rPr>
        <w:t>分；</w:t>
      </w:r>
    </w:p>
    <w:p>
      <w:pPr>
        <w:spacing w:line="360" w:lineRule="auto"/>
        <w:ind w:firstLine="420" w:firstLineChars="200"/>
        <w:rPr>
          <w:rFonts w:ascii="宋体"/>
          <w:kern w:val="0"/>
          <w:szCs w:val="21"/>
        </w:rPr>
      </w:pPr>
      <w:r>
        <w:rPr>
          <w:rFonts w:ascii="宋体" w:hAnsi="宋体"/>
          <w:kern w:val="0"/>
          <w:szCs w:val="21"/>
        </w:rPr>
        <w:t>2</w:t>
      </w:r>
      <w:r>
        <w:rPr>
          <w:rFonts w:hint="eastAsia" w:ascii="宋体" w:hAnsi="宋体"/>
          <w:kern w:val="0"/>
          <w:szCs w:val="21"/>
        </w:rPr>
        <w:t>、评分标准：</w:t>
      </w:r>
    </w:p>
    <w:p>
      <w:pPr>
        <w:spacing w:line="360" w:lineRule="auto"/>
        <w:ind w:firstLine="420" w:firstLineChars="200"/>
        <w:rPr>
          <w:rFonts w:hint="eastAsia" w:ascii="宋体"/>
          <w:bCs/>
          <w:szCs w:val="21"/>
        </w:rPr>
      </w:pPr>
      <w:r>
        <w:rPr>
          <w:rFonts w:hint="eastAsia" w:ascii="宋体" w:hAnsi="宋体"/>
          <w:bCs/>
          <w:szCs w:val="21"/>
        </w:rPr>
        <w:t>评标委员会对通过初步评审的投标人进行详细评审，首先按照招标文件规定的评分要求对投标人进行打分。</w:t>
      </w:r>
    </w:p>
    <w:p>
      <w:pPr>
        <w:numPr>
          <w:ilvl w:val="0"/>
          <w:numId w:val="3"/>
        </w:numPr>
        <w:spacing w:line="360" w:lineRule="auto"/>
        <w:ind w:firstLine="420" w:firstLineChars="200"/>
        <w:rPr>
          <w:rFonts w:hint="eastAsia" w:ascii="宋体" w:hAnsi="宋体"/>
          <w:kern w:val="0"/>
          <w:szCs w:val="21"/>
        </w:rPr>
      </w:pPr>
      <w:r>
        <w:rPr>
          <w:rFonts w:hint="eastAsia" w:ascii="宋体" w:hAnsi="宋体"/>
          <w:kern w:val="0"/>
          <w:szCs w:val="21"/>
        </w:rPr>
        <w:t>评分标准：</w:t>
      </w:r>
    </w:p>
    <w:tbl>
      <w:tblPr>
        <w:tblStyle w:val="40"/>
        <w:tblW w:w="5144" w:type="pct"/>
        <w:tblInd w:w="0" w:type="dxa"/>
        <w:tblLayout w:type="autofit"/>
        <w:tblCellMar>
          <w:top w:w="0" w:type="dxa"/>
          <w:left w:w="108" w:type="dxa"/>
          <w:bottom w:w="0" w:type="dxa"/>
          <w:right w:w="108" w:type="dxa"/>
        </w:tblCellMar>
      </w:tblPr>
      <w:tblGrid>
        <w:gridCol w:w="728"/>
        <w:gridCol w:w="1375"/>
        <w:gridCol w:w="6664"/>
      </w:tblGrid>
      <w:tr>
        <w:tblPrEx>
          <w:tblCellMar>
            <w:top w:w="0" w:type="dxa"/>
            <w:left w:w="108" w:type="dxa"/>
            <w:bottom w:w="0" w:type="dxa"/>
            <w:right w:w="108" w:type="dxa"/>
          </w:tblCellMar>
        </w:tblPrEx>
        <w:trPr>
          <w:trHeight w:val="285" w:hRule="atLeast"/>
        </w:trPr>
        <w:tc>
          <w:tcPr>
            <w:tcW w:w="1199" w:type="pct"/>
            <w:gridSpan w:val="2"/>
            <w:tcBorders>
              <w:top w:val="single" w:color="000000" w:sz="8"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评分项目</w:t>
            </w:r>
          </w:p>
        </w:tc>
        <w:tc>
          <w:tcPr>
            <w:tcW w:w="3800" w:type="pct"/>
            <w:tcBorders>
              <w:top w:val="single" w:color="000000" w:sz="8" w:space="0"/>
              <w:left w:val="single" w:color="000000" w:sz="4" w:space="0"/>
              <w:bottom w:val="single" w:color="000000" w:sz="4" w:space="0"/>
              <w:right w:val="single" w:color="000000" w:sz="8" w:space="0"/>
            </w:tcBorders>
            <w:noWrap w:val="0"/>
            <w:vAlign w:val="center"/>
          </w:tcPr>
          <w:p>
            <w:pPr>
              <w:widowControl/>
              <w:ind w:firstLine="211" w:firstLineChars="10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评分标准</w:t>
            </w:r>
          </w:p>
        </w:tc>
      </w:tr>
      <w:tr>
        <w:tblPrEx>
          <w:tblCellMar>
            <w:top w:w="0" w:type="dxa"/>
            <w:left w:w="108" w:type="dxa"/>
            <w:bottom w:w="0" w:type="dxa"/>
            <w:right w:w="108" w:type="dxa"/>
          </w:tblCellMar>
        </w:tblPrEx>
        <w:trPr>
          <w:trHeight w:val="765" w:hRule="atLeast"/>
        </w:trPr>
        <w:tc>
          <w:tcPr>
            <w:tcW w:w="1199" w:type="pct"/>
            <w:gridSpan w:val="2"/>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投标报价（满分70分）</w:t>
            </w:r>
          </w:p>
        </w:tc>
        <w:tc>
          <w:tcPr>
            <w:tcW w:w="3800" w:type="pct"/>
            <w:tcBorders>
              <w:top w:val="single" w:color="000000" w:sz="4" w:space="0"/>
              <w:left w:val="single" w:color="000000" w:sz="4" w:space="0"/>
              <w:bottom w:val="single" w:color="000000" w:sz="4" w:space="0"/>
              <w:right w:val="single" w:color="000000" w:sz="8" w:space="0"/>
            </w:tcBorders>
            <w:noWrap w:val="0"/>
            <w:vAlign w:val="center"/>
          </w:tcPr>
          <w:p>
            <w:pPr>
              <w:widowControl/>
              <w:jc w:val="left"/>
              <w:textAlignment w:val="center"/>
              <w:rPr>
                <w:rFonts w:hint="eastAsia" w:ascii="宋体" w:hAnsi="宋体" w:cs="宋体"/>
                <w:color w:val="000000" w:themeColor="text1"/>
                <w:szCs w:val="21"/>
                <w14:textFill>
                  <w14:solidFill>
                    <w14:schemeClr w14:val="tx1"/>
                  </w14:solidFill>
                </w14:textFill>
              </w:rPr>
            </w:pPr>
            <w:r>
              <w:rPr>
                <w:rStyle w:val="101"/>
                <w:rFonts w:hint="default"/>
                <w:color w:val="000000" w:themeColor="text1"/>
                <w:lang w:bidi="ar"/>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招标公告发布</w:t>
            </w:r>
            <w:r>
              <w:rPr>
                <w:rFonts w:hint="eastAsia" w:ascii="宋体" w:hAnsi="宋体" w:cs="宋体"/>
                <w:color w:val="000000" w:themeColor="text1"/>
                <w:szCs w:val="21"/>
                <w14:textFill>
                  <w14:solidFill>
                    <w14:schemeClr w14:val="tx1"/>
                  </w14:solidFill>
                </w14:textFill>
              </w:rPr>
              <w:t>当日《</w:t>
            </w:r>
            <w:r>
              <w:rPr>
                <w:rFonts w:hint="eastAsia" w:ascii="宋体" w:hAnsi="宋体" w:cs="宋体"/>
                <w:color w:val="000000" w:themeColor="text1"/>
                <w:szCs w:val="21"/>
                <w:lang w:val="en-US" w:eastAsia="zh-CN"/>
                <w14:textFill>
                  <w14:solidFill>
                    <w14:schemeClr w14:val="tx1"/>
                  </w14:solidFill>
                </w14:textFill>
              </w:rPr>
              <w:t>西本新干线</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西本钢铁网</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lang w:val="en-US" w:eastAsia="zh-CN"/>
                <w14:textFill>
                  <w14:solidFill>
                    <w14:schemeClr w14:val="tx1"/>
                  </w14:solidFill>
                </w14:textFill>
              </w:rPr>
              <w:t>济南市</w:t>
            </w:r>
            <w:r>
              <w:rPr>
                <w:rFonts w:hint="eastAsia" w:ascii="宋体" w:hAnsi="宋体" w:cs="宋体"/>
                <w:color w:val="000000" w:themeColor="text1"/>
                <w:szCs w:val="21"/>
                <w14:textFill>
                  <w14:solidFill>
                    <w14:schemeClr w14:val="tx1"/>
                  </w14:solidFill>
                </w14:textFill>
              </w:rPr>
              <w:t>建材交易指导价</w:t>
            </w:r>
            <w:r>
              <w:rPr>
                <w:rStyle w:val="101"/>
                <w:rFonts w:hint="default"/>
                <w:color w:val="000000" w:themeColor="text1"/>
                <w:lang w:bidi="ar"/>
                <w14:textFill>
                  <w14:solidFill>
                    <w14:schemeClr w14:val="tx1"/>
                  </w14:solidFill>
                </w14:textFill>
              </w:rPr>
              <w:t>为评标基准价。</w:t>
            </w:r>
          </w:p>
        </w:tc>
      </w:tr>
      <w:tr>
        <w:tblPrEx>
          <w:tblCellMar>
            <w:top w:w="0" w:type="dxa"/>
            <w:left w:w="108" w:type="dxa"/>
            <w:bottom w:w="0" w:type="dxa"/>
            <w:right w:w="108" w:type="dxa"/>
          </w:tblCellMar>
        </w:tblPrEx>
        <w:trPr>
          <w:trHeight w:val="1020" w:hRule="atLeast"/>
        </w:trPr>
        <w:tc>
          <w:tcPr>
            <w:tcW w:w="1199" w:type="pct"/>
            <w:gridSpan w:val="2"/>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3800" w:type="pct"/>
            <w:tcBorders>
              <w:top w:val="single" w:color="000000" w:sz="4" w:space="0"/>
              <w:left w:val="single" w:color="000000" w:sz="4" w:space="0"/>
              <w:bottom w:val="single" w:color="000000" w:sz="4" w:space="0"/>
              <w:right w:val="single" w:color="000000" w:sz="8" w:space="0"/>
            </w:tcBorders>
            <w:noWrap w:val="0"/>
            <w:vAlign w:val="center"/>
          </w:tcPr>
          <w:p>
            <w:pPr>
              <w:widowControl/>
              <w:jc w:val="left"/>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（2）偏差率＝（投标报价/评标基准价－1）×100％；</w:t>
            </w:r>
          </w:p>
          <w:p>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投标报价高于评标基准价，每向上浮动1%扣</w:t>
            </w:r>
            <w:r>
              <w:rPr>
                <w:rFonts w:ascii="宋体" w:hAnsi="宋体" w:cs="宋体"/>
                <w:color w:val="000000" w:themeColor="text1"/>
                <w:kern w:val="0"/>
                <w:szCs w:val="21"/>
                <w:lang w:bidi="ar"/>
                <w14:textFill>
                  <w14:solidFill>
                    <w14:schemeClr w14:val="tx1"/>
                  </w14:solidFill>
                </w14:textFill>
              </w:rPr>
              <w:t>3</w:t>
            </w:r>
            <w:r>
              <w:rPr>
                <w:rFonts w:hint="eastAsia" w:ascii="宋体" w:hAnsi="宋体" w:cs="宋体"/>
                <w:color w:val="000000" w:themeColor="text1"/>
                <w:kern w:val="0"/>
                <w:szCs w:val="21"/>
                <w:lang w:bidi="ar"/>
                <w14:textFill>
                  <w14:solidFill>
                    <w14:schemeClr w14:val="tx1"/>
                  </w14:solidFill>
                </w14:textFill>
              </w:rPr>
              <w:t>分，不足1%按1%计；评标报价低于评标基准价，每向下浮动1%扣</w:t>
            </w:r>
            <w:r>
              <w:rPr>
                <w:rFonts w:ascii="宋体" w:hAnsi="宋体" w:cs="宋体"/>
                <w:color w:val="000000" w:themeColor="text1"/>
                <w:kern w:val="0"/>
                <w:szCs w:val="21"/>
                <w:lang w:bidi="ar"/>
                <w14:textFill>
                  <w14:solidFill>
                    <w14:schemeClr w14:val="tx1"/>
                  </w14:solidFill>
                </w14:textFill>
              </w:rPr>
              <w:t>1</w:t>
            </w:r>
            <w:r>
              <w:rPr>
                <w:rFonts w:hint="eastAsia" w:ascii="宋体" w:hAnsi="宋体" w:cs="宋体"/>
                <w:color w:val="000000" w:themeColor="text1"/>
                <w:kern w:val="0"/>
                <w:szCs w:val="21"/>
                <w:lang w:bidi="ar"/>
                <w14:textFill>
                  <w14:solidFill>
                    <w14:schemeClr w14:val="tx1"/>
                  </w14:solidFill>
                </w14:textFill>
              </w:rPr>
              <w:t>分，不足1%按1%计；投标报价等于评标基准价的，不扣分。</w:t>
            </w:r>
          </w:p>
        </w:tc>
      </w:tr>
      <w:tr>
        <w:tblPrEx>
          <w:tblCellMar>
            <w:top w:w="0" w:type="dxa"/>
            <w:left w:w="108" w:type="dxa"/>
            <w:bottom w:w="0" w:type="dxa"/>
            <w:right w:w="108" w:type="dxa"/>
          </w:tblCellMar>
        </w:tblPrEx>
        <w:trPr>
          <w:trHeight w:val="285" w:hRule="atLeast"/>
        </w:trPr>
        <w:tc>
          <w:tcPr>
            <w:tcW w:w="1199" w:type="pct"/>
            <w:gridSpan w:val="2"/>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3800" w:type="pct"/>
            <w:tcBorders>
              <w:top w:val="single" w:color="000000" w:sz="4" w:space="0"/>
              <w:left w:val="single" w:color="000000" w:sz="4" w:space="0"/>
              <w:bottom w:val="single" w:color="000000" w:sz="4" w:space="0"/>
              <w:right w:val="single" w:color="000000" w:sz="8" w:space="0"/>
            </w:tcBorders>
            <w:noWrap w:val="0"/>
            <w:vAlign w:val="center"/>
          </w:tcPr>
          <w:p>
            <w:pPr>
              <w:widowControl/>
              <w:jc w:val="left"/>
              <w:textAlignment w:val="center"/>
              <w:rPr>
                <w:rFonts w:hint="eastAsia" w:ascii="宋体" w:hAnsi="宋体" w:cs="宋体"/>
                <w:color w:val="000000" w:themeColor="text1"/>
                <w:szCs w:val="21"/>
                <w14:textFill>
                  <w14:solidFill>
                    <w14:schemeClr w14:val="tx1"/>
                  </w14:solidFill>
                </w14:textFill>
              </w:rPr>
            </w:pPr>
            <w:r>
              <w:rPr>
                <w:rStyle w:val="101"/>
                <w:rFonts w:hint="default"/>
                <w:color w:val="000000" w:themeColor="text1"/>
                <w:lang w:bidi="ar"/>
                <w14:textFill>
                  <w14:solidFill>
                    <w14:schemeClr w14:val="tx1"/>
                  </w14:solidFill>
                </w14:textFill>
              </w:rPr>
              <w:t>（3）投标报价得分=70</w:t>
            </w:r>
            <w:r>
              <w:rPr>
                <w:rStyle w:val="101"/>
                <w:color w:val="000000" w:themeColor="text1"/>
                <w:lang w:bidi="ar"/>
                <w14:textFill>
                  <w14:solidFill>
                    <w14:schemeClr w14:val="tx1"/>
                  </w14:solidFill>
                </w14:textFill>
              </w:rPr>
              <w:t>－</w:t>
            </w:r>
            <w:r>
              <w:rPr>
                <w:rStyle w:val="101"/>
                <w:rFonts w:hint="default"/>
                <w:color w:val="000000" w:themeColor="text1"/>
                <w:lang w:bidi="ar"/>
                <w14:textFill>
                  <w14:solidFill>
                    <w14:schemeClr w14:val="tx1"/>
                  </w14:solidFill>
                </w14:textFill>
              </w:rPr>
              <w:t>扣分分值。</w:t>
            </w:r>
          </w:p>
        </w:tc>
      </w:tr>
      <w:tr>
        <w:tblPrEx>
          <w:tblCellMar>
            <w:top w:w="0" w:type="dxa"/>
            <w:left w:w="108" w:type="dxa"/>
            <w:bottom w:w="0" w:type="dxa"/>
            <w:right w:w="108" w:type="dxa"/>
          </w:tblCellMar>
        </w:tblPrEx>
        <w:trPr>
          <w:trHeight w:val="510" w:hRule="atLeast"/>
        </w:trPr>
        <w:tc>
          <w:tcPr>
            <w:tcW w:w="415" w:type="pct"/>
            <w:vMerge w:val="restart"/>
            <w:tcBorders>
              <w:top w:val="single" w:color="000000" w:sz="4" w:space="0"/>
              <w:left w:val="single" w:color="000000" w:sz="8" w:space="0"/>
              <w:bottom w:val="single" w:color="000000" w:sz="8"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详细评审（满分30分）</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投标人业绩（</w:t>
            </w:r>
            <w:r>
              <w:rPr>
                <w:rFonts w:hint="eastAsia" w:ascii="宋体" w:hAnsi="宋体" w:cs="宋体"/>
                <w:b/>
                <w:bCs/>
                <w:color w:val="000000" w:themeColor="text1"/>
                <w:kern w:val="0"/>
                <w:szCs w:val="21"/>
                <w:lang w:bidi="ar"/>
                <w14:textFill>
                  <w14:solidFill>
                    <w14:schemeClr w14:val="tx1"/>
                  </w14:solidFill>
                </w14:textFill>
              </w:rPr>
              <w:t>满分5分）</w:t>
            </w:r>
          </w:p>
        </w:tc>
        <w:tc>
          <w:tcPr>
            <w:tcW w:w="3800" w:type="pct"/>
            <w:tcBorders>
              <w:top w:val="single" w:color="000000" w:sz="4" w:space="0"/>
              <w:left w:val="single" w:color="000000" w:sz="4" w:space="0"/>
              <w:bottom w:val="single" w:color="000000" w:sz="4" w:space="0"/>
              <w:right w:val="single" w:color="000000" w:sz="8" w:space="0"/>
            </w:tcBorders>
            <w:noWrap w:val="0"/>
            <w:vAlign w:val="center"/>
          </w:tcPr>
          <w:p>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近3年投标人与大型国有企业合作业绩。（提供合同扫描件，与本单位合作的每份合同</w:t>
            </w:r>
            <w:r>
              <w:rPr>
                <w:rFonts w:hint="eastAsia" w:ascii="宋体" w:hAnsi="宋体" w:cs="宋体"/>
                <w:color w:val="000000" w:themeColor="text1"/>
                <w:kern w:val="0"/>
                <w:szCs w:val="21"/>
                <w:lang w:val="en-US" w:eastAsia="zh-CN" w:bidi="ar"/>
                <w14:textFill>
                  <w14:solidFill>
                    <w14:schemeClr w14:val="tx1"/>
                  </w14:solidFill>
                </w14:textFill>
              </w:rPr>
              <w:t>得5</w:t>
            </w:r>
            <w:r>
              <w:rPr>
                <w:rFonts w:hint="eastAsia" w:ascii="宋体" w:hAnsi="宋体" w:cs="宋体"/>
                <w:color w:val="000000" w:themeColor="text1"/>
                <w:kern w:val="0"/>
                <w:szCs w:val="21"/>
                <w:lang w:bidi="ar"/>
                <w14:textFill>
                  <w14:solidFill>
                    <w14:schemeClr w14:val="tx1"/>
                  </w14:solidFill>
                </w14:textFill>
              </w:rPr>
              <w:t>分，与其他单位合作的每份合同得1分）。</w:t>
            </w:r>
          </w:p>
        </w:tc>
      </w:tr>
      <w:tr>
        <w:tblPrEx>
          <w:tblCellMar>
            <w:top w:w="0" w:type="dxa"/>
            <w:left w:w="108" w:type="dxa"/>
            <w:bottom w:w="0" w:type="dxa"/>
            <w:right w:w="108" w:type="dxa"/>
          </w:tblCellMar>
        </w:tblPrEx>
        <w:trPr>
          <w:trHeight w:val="1275" w:hRule="atLeast"/>
        </w:trPr>
        <w:tc>
          <w:tcPr>
            <w:tcW w:w="415" w:type="pct"/>
            <w:vMerge w:val="continue"/>
            <w:tcBorders>
              <w:top w:val="single" w:color="000000" w:sz="4" w:space="0"/>
              <w:left w:val="single" w:color="000000" w:sz="8" w:space="0"/>
              <w:bottom w:val="single" w:color="000000" w:sz="8" w:space="0"/>
              <w:right w:val="single" w:color="000000" w:sz="4" w:space="0"/>
            </w:tcBorders>
            <w:noWrap w:val="0"/>
            <w:vAlign w:val="center"/>
          </w:tcPr>
          <w:p>
            <w:pPr>
              <w:jc w:val="center"/>
              <w:rPr>
                <w:rFonts w:hint="eastAsia" w:ascii="宋体" w:hAnsi="宋体" w:cs="宋体"/>
                <w:b/>
                <w:bCs/>
                <w:color w:val="000000"/>
                <w:szCs w:val="21"/>
              </w:rPr>
            </w:pPr>
          </w:p>
        </w:tc>
        <w:tc>
          <w:tcPr>
            <w:tcW w:w="7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综合实力（</w:t>
            </w:r>
            <w:r>
              <w:rPr>
                <w:rFonts w:hint="eastAsia" w:ascii="宋体" w:hAnsi="宋体" w:cs="宋体"/>
                <w:b/>
                <w:bCs/>
                <w:color w:val="000000" w:themeColor="text1"/>
                <w:kern w:val="0"/>
                <w:szCs w:val="21"/>
                <w:lang w:bidi="ar"/>
                <w14:textFill>
                  <w14:solidFill>
                    <w14:schemeClr w14:val="tx1"/>
                  </w14:solidFill>
                </w14:textFill>
              </w:rPr>
              <w:t>满分5分）</w:t>
            </w:r>
          </w:p>
        </w:tc>
        <w:tc>
          <w:tcPr>
            <w:tcW w:w="3800" w:type="pct"/>
            <w:tcBorders>
              <w:top w:val="single" w:color="000000" w:sz="4" w:space="0"/>
              <w:left w:val="single" w:color="000000" w:sz="4" w:space="0"/>
              <w:bottom w:val="single" w:color="000000" w:sz="4" w:space="0"/>
              <w:right w:val="single" w:color="000000" w:sz="8" w:space="0"/>
            </w:tcBorders>
            <w:noWrap w:val="0"/>
            <w:vAlign w:val="center"/>
          </w:tcPr>
          <w:p>
            <w:pPr>
              <w:widowControl/>
              <w:jc w:val="left"/>
              <w:textAlignment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生产许可证/销售代理权（1分）</w:t>
            </w:r>
            <w:r>
              <w:rPr>
                <w:rFonts w:hint="eastAsia" w:ascii="宋体" w:hAnsi="宋体"/>
                <w:color w:val="000000" w:themeColor="text1"/>
                <w:szCs w:val="21"/>
                <w14:textFill>
                  <w14:solidFill>
                    <w14:schemeClr w14:val="tx1"/>
                  </w14:solidFill>
                </w14:textFill>
              </w:rPr>
              <w:t>投标人各类资格认证文件1分，含体系认证、各类专利等。（提供资质证明复印件并加盖投标人公章）</w:t>
            </w:r>
          </w:p>
          <w:p>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投标人需提供近3年财务状况说明，成立不满一年的以银行出具的资信证明为准，提供完整财务审计报告或资信证明的得</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分，提供不完整或者未提供者均不得分。</w:t>
            </w:r>
          </w:p>
        </w:tc>
      </w:tr>
      <w:tr>
        <w:tblPrEx>
          <w:tblCellMar>
            <w:top w:w="0" w:type="dxa"/>
            <w:left w:w="108" w:type="dxa"/>
            <w:bottom w:w="0" w:type="dxa"/>
            <w:right w:w="108" w:type="dxa"/>
          </w:tblCellMar>
        </w:tblPrEx>
        <w:trPr>
          <w:trHeight w:val="1035" w:hRule="atLeast"/>
        </w:trPr>
        <w:tc>
          <w:tcPr>
            <w:tcW w:w="415" w:type="pct"/>
            <w:vMerge w:val="continue"/>
            <w:tcBorders>
              <w:top w:val="single" w:color="000000" w:sz="4" w:space="0"/>
              <w:left w:val="single" w:color="000000" w:sz="8" w:space="0"/>
              <w:bottom w:val="single" w:color="000000" w:sz="8" w:space="0"/>
              <w:right w:val="single" w:color="000000" w:sz="4" w:space="0"/>
            </w:tcBorders>
            <w:noWrap w:val="0"/>
            <w:vAlign w:val="center"/>
          </w:tcPr>
          <w:p>
            <w:pPr>
              <w:jc w:val="center"/>
              <w:rPr>
                <w:rFonts w:hint="eastAsia" w:ascii="宋体" w:hAnsi="宋体" w:cs="宋体"/>
                <w:b/>
                <w:bCs/>
                <w:color w:val="000000"/>
                <w:szCs w:val="21"/>
              </w:rPr>
            </w:pPr>
          </w:p>
        </w:tc>
        <w:tc>
          <w:tcPr>
            <w:tcW w:w="783" w:type="pct"/>
            <w:tcBorders>
              <w:top w:val="single" w:color="000000" w:sz="4" w:space="0"/>
              <w:left w:val="single" w:color="000000" w:sz="4" w:space="0"/>
              <w:bottom w:val="single" w:color="000000" w:sz="8"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服务方案（</w:t>
            </w:r>
            <w:r>
              <w:rPr>
                <w:rFonts w:hint="eastAsia" w:ascii="宋体" w:hAnsi="宋体" w:cs="宋体"/>
                <w:b/>
                <w:bCs/>
                <w:color w:val="000000" w:themeColor="text1"/>
                <w:kern w:val="0"/>
                <w:szCs w:val="21"/>
                <w:lang w:bidi="ar"/>
                <w14:textFill>
                  <w14:solidFill>
                    <w14:schemeClr w14:val="tx1"/>
                  </w14:solidFill>
                </w14:textFill>
              </w:rPr>
              <w:t>满分20分）</w:t>
            </w:r>
          </w:p>
        </w:tc>
        <w:tc>
          <w:tcPr>
            <w:tcW w:w="3800" w:type="pct"/>
            <w:tcBorders>
              <w:top w:val="single" w:color="000000" w:sz="4" w:space="0"/>
              <w:left w:val="single" w:color="000000" w:sz="4" w:space="0"/>
              <w:bottom w:val="single" w:color="000000" w:sz="8" w:space="0"/>
              <w:right w:val="single" w:color="000000" w:sz="8" w:space="0"/>
            </w:tcBorders>
            <w:noWrap w:val="0"/>
            <w:vAlign w:val="center"/>
          </w:tcPr>
          <w:p>
            <w:pPr>
              <w:widowControl/>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（1）付款条件（</w:t>
            </w:r>
            <w:r>
              <w:rPr>
                <w:rFonts w:hint="eastAsia" w:ascii="宋体" w:hAnsi="宋体" w:cs="宋体"/>
                <w:color w:val="000000" w:themeColor="text1"/>
                <w:kern w:val="0"/>
                <w:szCs w:val="21"/>
                <w:lang w:val="en-US" w:eastAsia="zh-CN" w:bidi="ar"/>
                <w14:textFill>
                  <w14:solidFill>
                    <w14:schemeClr w14:val="tx1"/>
                  </w14:solidFill>
                </w14:textFill>
              </w:rPr>
              <w:t>2</w:t>
            </w:r>
            <w:r>
              <w:rPr>
                <w:rFonts w:hint="eastAsia" w:ascii="宋体" w:hAnsi="宋体" w:cs="宋体"/>
                <w:color w:val="000000" w:themeColor="text1"/>
                <w:kern w:val="0"/>
                <w:szCs w:val="21"/>
                <w:lang w:bidi="ar"/>
                <w14:textFill>
                  <w14:solidFill>
                    <w14:schemeClr w14:val="tx1"/>
                  </w14:solidFill>
                </w14:textFill>
              </w:rPr>
              <w:t>分）按各单位能否满足招标人的付款条件进行评分，最高可得</w:t>
            </w:r>
            <w:r>
              <w:rPr>
                <w:rFonts w:hint="eastAsia" w:ascii="宋体" w:hAnsi="宋体" w:cs="宋体"/>
                <w:color w:val="000000" w:themeColor="text1"/>
                <w:kern w:val="0"/>
                <w:szCs w:val="21"/>
                <w:lang w:val="en-US" w:eastAsia="zh-CN" w:bidi="ar"/>
                <w14:textFill>
                  <w14:solidFill>
                    <w14:schemeClr w14:val="tx1"/>
                  </w14:solidFill>
                </w14:textFill>
              </w:rPr>
              <w:t>2</w:t>
            </w:r>
            <w:r>
              <w:rPr>
                <w:rFonts w:hint="eastAsia" w:ascii="宋体" w:hAnsi="宋体" w:cs="宋体"/>
                <w:color w:val="000000" w:themeColor="text1"/>
                <w:kern w:val="0"/>
                <w:szCs w:val="21"/>
                <w:lang w:bidi="ar"/>
                <w14:textFill>
                  <w14:solidFill>
                    <w14:schemeClr w14:val="tx1"/>
                  </w14:solidFill>
                </w14:textFill>
              </w:rPr>
              <w:t>分。</w:t>
            </w:r>
          </w:p>
          <w:p>
            <w:pPr>
              <w:widowControl/>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（2）售后服务（</w:t>
            </w:r>
            <w:r>
              <w:rPr>
                <w:rFonts w:hint="eastAsia" w:ascii="宋体" w:hAnsi="宋体" w:cs="宋体"/>
                <w:color w:val="000000" w:themeColor="text1"/>
                <w:kern w:val="0"/>
                <w:szCs w:val="21"/>
                <w:lang w:val="en-US" w:eastAsia="zh-CN" w:bidi="ar"/>
                <w14:textFill>
                  <w14:solidFill>
                    <w14:schemeClr w14:val="tx1"/>
                  </w14:solidFill>
                </w14:textFill>
              </w:rPr>
              <w:t>4</w:t>
            </w:r>
            <w:r>
              <w:rPr>
                <w:rFonts w:hint="eastAsia" w:ascii="宋体" w:hAnsi="宋体" w:cs="宋体"/>
                <w:color w:val="000000" w:themeColor="text1"/>
                <w:kern w:val="0"/>
                <w:szCs w:val="21"/>
                <w:lang w:bidi="ar"/>
                <w14:textFill>
                  <w14:solidFill>
                    <w14:schemeClr w14:val="tx1"/>
                  </w14:solidFill>
                </w14:textFill>
              </w:rPr>
              <w:t>分）按各单位的售后服务条件进行评分，最高可得</w:t>
            </w:r>
            <w:r>
              <w:rPr>
                <w:rFonts w:hint="eastAsia" w:ascii="宋体" w:hAnsi="宋体" w:cs="宋体"/>
                <w:color w:val="000000" w:themeColor="text1"/>
                <w:kern w:val="0"/>
                <w:szCs w:val="21"/>
                <w:lang w:val="en-US" w:eastAsia="zh-CN" w:bidi="ar"/>
                <w14:textFill>
                  <w14:solidFill>
                    <w14:schemeClr w14:val="tx1"/>
                  </w14:solidFill>
                </w14:textFill>
              </w:rPr>
              <w:t>4</w:t>
            </w:r>
            <w:r>
              <w:rPr>
                <w:rFonts w:hint="eastAsia" w:ascii="宋体" w:hAnsi="宋体" w:cs="宋体"/>
                <w:color w:val="000000" w:themeColor="text1"/>
                <w:kern w:val="0"/>
                <w:szCs w:val="21"/>
                <w:lang w:bidi="ar"/>
                <w14:textFill>
                  <w14:solidFill>
                    <w14:schemeClr w14:val="tx1"/>
                  </w14:solidFill>
                </w14:textFill>
              </w:rPr>
              <w:t>分。</w:t>
            </w:r>
          </w:p>
          <w:p>
            <w:pPr>
              <w:topLinePunct/>
              <w:adjustRightInd w:val="0"/>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eastAsia="zh-CN" w:bidi="ar"/>
                <w14:textFill>
                  <w14:solidFill>
                    <w14:schemeClr w14:val="tx1"/>
                  </w14:solidFill>
                </w14:textFill>
              </w:rPr>
              <w:t>（</w:t>
            </w:r>
            <w:r>
              <w:rPr>
                <w:rFonts w:hint="eastAsia" w:ascii="宋体" w:hAnsi="宋体" w:cs="宋体"/>
                <w:color w:val="000000" w:themeColor="text1"/>
                <w:kern w:val="0"/>
                <w:szCs w:val="21"/>
                <w:lang w:val="en-US" w:eastAsia="zh-CN" w:bidi="ar"/>
                <w14:textFill>
                  <w14:solidFill>
                    <w14:schemeClr w14:val="tx1"/>
                  </w14:solidFill>
                </w14:textFill>
              </w:rPr>
              <w:t>3）</w:t>
            </w:r>
            <w:r>
              <w:rPr>
                <w:rFonts w:hint="eastAsia" w:ascii="宋体" w:hAnsi="宋体"/>
                <w:color w:val="000000" w:themeColor="text1"/>
                <w:szCs w:val="21"/>
                <w14:textFill>
                  <w14:solidFill>
                    <w14:schemeClr w14:val="tx1"/>
                  </w14:solidFill>
                </w14:textFill>
              </w:rPr>
              <w:t>备货期限（</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分）评委根据各单位给出的备货期从高到底进行打分。</w:t>
            </w:r>
          </w:p>
          <w:p>
            <w:pPr>
              <w:topLinePunct/>
              <w:adjustRightInd w:val="0"/>
              <w:snapToGrid w:val="0"/>
              <w:spacing w:line="360" w:lineRule="auto"/>
              <w:rPr>
                <w:rFonts w:hint="eastAsia" w:ascii="宋体" w:hAnsi="宋体" w:eastAsia="宋体" w:cs="宋体"/>
                <w:bCs/>
                <w:szCs w:val="21"/>
                <w:lang w:eastAsia="zh-CN"/>
              </w:rPr>
            </w:pPr>
            <w:r>
              <w:rPr>
                <w:rFonts w:hint="eastAsia" w:ascii="宋体" w:hAnsi="宋体" w:cs="宋体"/>
                <w:bCs/>
                <w:szCs w:val="21"/>
              </w:rPr>
              <w:t>（</w:t>
            </w:r>
            <w:r>
              <w:rPr>
                <w:rFonts w:hint="eastAsia" w:ascii="宋体" w:hAnsi="宋体" w:cs="宋体"/>
                <w:bCs/>
                <w:szCs w:val="21"/>
                <w:lang w:val="en-US" w:eastAsia="zh-CN"/>
              </w:rPr>
              <w:t>4</w:t>
            </w:r>
            <w:r>
              <w:rPr>
                <w:rFonts w:hint="eastAsia" w:ascii="宋体" w:hAnsi="宋体" w:cs="宋体"/>
                <w:bCs/>
                <w:szCs w:val="21"/>
              </w:rPr>
              <w:t>）投标方服务方案，按照对服务需求理解、完成时间、招标人对本项目提出合理具有针对性的重点难点分析及用户需要的建议性意见等因素详细编写。</w:t>
            </w:r>
            <w:r>
              <w:rPr>
                <w:rFonts w:hint="eastAsia" w:ascii="宋体" w:hAnsi="宋体" w:cs="宋体"/>
                <w:bCs/>
                <w:szCs w:val="21"/>
                <w:lang w:eastAsia="zh-CN"/>
              </w:rPr>
              <w:t>（</w:t>
            </w:r>
            <w:r>
              <w:rPr>
                <w:rFonts w:hint="eastAsia" w:ascii="宋体" w:hAnsi="宋体" w:cs="宋体"/>
                <w:bCs/>
                <w:szCs w:val="21"/>
                <w:lang w:val="en-US" w:eastAsia="zh-CN"/>
              </w:rPr>
              <w:t>4分</w:t>
            </w:r>
            <w:r>
              <w:rPr>
                <w:rFonts w:hint="eastAsia" w:ascii="宋体" w:hAnsi="宋体" w:cs="宋体"/>
                <w:bCs/>
                <w:szCs w:val="21"/>
                <w:lang w:eastAsia="zh-CN"/>
              </w:rPr>
              <w:t>）</w:t>
            </w:r>
          </w:p>
          <w:p>
            <w:pPr>
              <w:topLinePunct/>
              <w:adjustRightInd w:val="0"/>
              <w:snapToGrid w:val="0"/>
              <w:spacing w:line="360" w:lineRule="auto"/>
              <w:rPr>
                <w:rFonts w:hint="eastAsia" w:ascii="宋体" w:eastAsia="宋体" w:cs="宋体"/>
                <w:b/>
                <w:bCs/>
                <w:szCs w:val="21"/>
                <w:lang w:eastAsia="zh-CN"/>
              </w:rPr>
            </w:pPr>
            <w:r>
              <w:rPr>
                <w:rFonts w:hint="eastAsia" w:ascii="宋体" w:hAnsi="宋体" w:cs="宋体"/>
                <w:bCs/>
                <w:szCs w:val="21"/>
              </w:rPr>
              <w:t>（</w:t>
            </w:r>
            <w:r>
              <w:rPr>
                <w:rFonts w:hint="eastAsia" w:ascii="宋体" w:hAnsi="宋体" w:cs="宋体"/>
                <w:bCs/>
                <w:szCs w:val="21"/>
                <w:lang w:val="en-US" w:eastAsia="zh-CN"/>
              </w:rPr>
              <w:t>5</w:t>
            </w:r>
            <w:r>
              <w:rPr>
                <w:rFonts w:hint="eastAsia" w:ascii="宋体" w:hAnsi="宋体" w:cs="宋体"/>
                <w:bCs/>
                <w:szCs w:val="21"/>
              </w:rPr>
              <w:t>）</w:t>
            </w:r>
            <w:bookmarkStart w:id="550" w:name="_GoBack"/>
            <w:r>
              <w:rPr>
                <w:rFonts w:hint="eastAsia" w:ascii="宋体" w:hAnsi="宋体" w:cs="宋体"/>
                <w:bCs/>
                <w:szCs w:val="21"/>
              </w:rPr>
              <w:t>服务保障方案，如问题处理反馈沟通机制、紧急（突发）事情处理方案、跟踪问效后继服务制度等。</w:t>
            </w:r>
            <w:r>
              <w:rPr>
                <w:rFonts w:hint="eastAsia" w:ascii="宋体" w:hAnsi="宋体" w:cs="宋体"/>
                <w:bCs/>
                <w:szCs w:val="21"/>
                <w:lang w:eastAsia="zh-CN"/>
              </w:rPr>
              <w:t>（</w:t>
            </w:r>
            <w:r>
              <w:rPr>
                <w:rFonts w:hint="eastAsia" w:ascii="宋体" w:hAnsi="宋体" w:cs="宋体"/>
                <w:bCs/>
                <w:szCs w:val="21"/>
                <w:lang w:val="en-US" w:eastAsia="zh-CN"/>
              </w:rPr>
              <w:t>5分</w:t>
            </w:r>
            <w:r>
              <w:rPr>
                <w:rFonts w:hint="eastAsia" w:ascii="宋体" w:hAnsi="宋体" w:cs="宋体"/>
                <w:bCs/>
                <w:szCs w:val="21"/>
                <w:lang w:eastAsia="zh-CN"/>
              </w:rPr>
              <w:t>）</w:t>
            </w:r>
            <w:bookmarkEnd w:id="550"/>
          </w:p>
          <w:p>
            <w:pPr>
              <w:widowControl/>
              <w:textAlignment w:val="center"/>
              <w:rPr>
                <w:rFonts w:hint="eastAsia" w:ascii="宋体" w:hAnsi="宋体" w:cs="宋体"/>
                <w:color w:val="000000" w:themeColor="text1"/>
                <w:szCs w:val="21"/>
                <w14:textFill>
                  <w14:solidFill>
                    <w14:schemeClr w14:val="tx1"/>
                  </w14:solidFill>
                </w14:textFill>
              </w:rPr>
            </w:pPr>
          </w:p>
        </w:tc>
      </w:tr>
    </w:tbl>
    <w:p>
      <w:pPr>
        <w:spacing w:line="360" w:lineRule="auto"/>
        <w:ind w:firstLine="420" w:firstLineChars="200"/>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）投标总得分：</w:t>
      </w:r>
    </w:p>
    <w:p>
      <w:pPr>
        <w:spacing w:line="360" w:lineRule="auto"/>
        <w:ind w:firstLine="420" w:firstLineChars="200"/>
        <w:rPr>
          <w:rFonts w:ascii="宋体"/>
          <w:kern w:val="0"/>
          <w:szCs w:val="21"/>
        </w:rPr>
      </w:pPr>
      <w:r>
        <w:rPr>
          <w:rFonts w:hint="eastAsia" w:ascii="宋体" w:hAnsi="宋体"/>
          <w:kern w:val="0"/>
          <w:szCs w:val="21"/>
        </w:rPr>
        <w:t>投标总得分</w:t>
      </w:r>
      <w:r>
        <w:rPr>
          <w:rFonts w:ascii="宋体" w:hAnsi="宋体"/>
          <w:kern w:val="0"/>
          <w:szCs w:val="21"/>
        </w:rPr>
        <w:t>=</w:t>
      </w:r>
      <w:r>
        <w:rPr>
          <w:rFonts w:hint="eastAsia" w:ascii="宋体" w:hAnsi="宋体"/>
          <w:kern w:val="0"/>
          <w:szCs w:val="21"/>
        </w:rPr>
        <w:t>投标报价得分</w:t>
      </w:r>
      <w:r>
        <w:rPr>
          <w:rFonts w:ascii="宋体" w:hAnsi="宋体"/>
          <w:kern w:val="0"/>
          <w:szCs w:val="21"/>
        </w:rPr>
        <w:t>+</w:t>
      </w:r>
      <w:r>
        <w:rPr>
          <w:rFonts w:hint="eastAsia" w:ascii="宋体" w:hAnsi="宋体"/>
          <w:kern w:val="0"/>
          <w:szCs w:val="21"/>
        </w:rPr>
        <w:t>详细评审得分，小数点后保留两位，</w:t>
      </w:r>
      <w:r>
        <w:rPr>
          <w:rFonts w:hint="eastAsia" w:hAnsi="宋体"/>
        </w:rPr>
        <w:t>小数点后第三位“四舍五入”。</w:t>
      </w:r>
    </w:p>
    <w:p>
      <w:pPr>
        <w:spacing w:line="360" w:lineRule="auto"/>
        <w:ind w:firstLine="422" w:firstLineChars="200"/>
        <w:rPr>
          <w:rFonts w:ascii="宋体"/>
          <w:b/>
          <w:bCs/>
          <w:szCs w:val="21"/>
        </w:rPr>
      </w:pPr>
      <w:r>
        <w:rPr>
          <w:rFonts w:hint="eastAsia" w:ascii="宋体" w:hAnsi="宋体"/>
          <w:b/>
          <w:bCs/>
          <w:szCs w:val="21"/>
        </w:rPr>
        <w:t>一、投标文件的澄清</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在评标阶段，评标委员会认为需要时，可书面通知投标人澄清其投标文件中的问题，澄清的内容包括对算术性修正的确认、对非实质性的遗漏、不完整的技术信息和数据的纠正等或者要求补充某些资料，包括报价的分析资料等，对此，投标人不得拒绝。投标人的澄清和纠正内容将作为其投标文件的组成部分。</w:t>
      </w:r>
    </w:p>
    <w:p>
      <w:pPr>
        <w:spacing w:line="360" w:lineRule="auto"/>
        <w:ind w:firstLine="420" w:firstLineChars="200"/>
        <w:rPr>
          <w:rFonts w:ascii="宋体"/>
          <w:bCs/>
          <w:szCs w:val="21"/>
        </w:rPr>
      </w:pPr>
      <w:r>
        <w:rPr>
          <w:rFonts w:ascii="宋体" w:hAnsi="宋体"/>
          <w:bCs/>
          <w:szCs w:val="21"/>
        </w:rPr>
        <w:t>2</w:t>
      </w:r>
      <w:r>
        <w:rPr>
          <w:rFonts w:hint="eastAsia" w:ascii="宋体" w:hAnsi="宋体"/>
          <w:bCs/>
          <w:szCs w:val="21"/>
        </w:rPr>
        <w:t>、有关澄清的要求和答复，应以书面形式进行，投标人不得借澄清问题的机会，与招标人或评标人员私下接触或对原投标报价和内容提出修改，澄清不得改变投标文件的实质性内容，也不得对其他投标人造成不公平的结果。但在评标中对发现的算术性差错进行的核实、修正，则不在此列，评标委员会不接受投标人主动提出的澄清。</w:t>
      </w:r>
    </w:p>
    <w:p>
      <w:pPr>
        <w:spacing w:line="360" w:lineRule="auto"/>
        <w:ind w:firstLine="420" w:firstLineChars="200"/>
        <w:rPr>
          <w:rFonts w:ascii="宋体"/>
          <w:bCs/>
          <w:szCs w:val="21"/>
        </w:rPr>
      </w:pPr>
      <w:r>
        <w:rPr>
          <w:rFonts w:ascii="宋体" w:hAnsi="宋体"/>
          <w:bCs/>
          <w:szCs w:val="21"/>
        </w:rPr>
        <w:t>3</w:t>
      </w:r>
      <w:r>
        <w:rPr>
          <w:rFonts w:hint="eastAsia" w:ascii="宋体" w:hAnsi="宋体"/>
          <w:bCs/>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标处理。</w:t>
      </w:r>
    </w:p>
    <w:p>
      <w:pPr>
        <w:spacing w:line="360" w:lineRule="auto"/>
        <w:ind w:firstLine="420" w:firstLineChars="200"/>
        <w:rPr>
          <w:rFonts w:ascii="宋体"/>
          <w:bCs/>
          <w:szCs w:val="21"/>
        </w:rPr>
      </w:pPr>
      <w:r>
        <w:rPr>
          <w:rFonts w:ascii="宋体" w:hAnsi="宋体"/>
          <w:bCs/>
          <w:szCs w:val="21"/>
        </w:rPr>
        <w:t>4</w:t>
      </w:r>
      <w:r>
        <w:rPr>
          <w:rFonts w:hint="eastAsia" w:ascii="宋体" w:hAnsi="宋体"/>
          <w:bCs/>
          <w:szCs w:val="21"/>
        </w:rPr>
        <w:t>、投标报价有算术错误的，评标委员会按照以下原则对投标报价进行修正，修正的价格经投标人书面确认后具有约束力。投标人不接受修正价格的，评标委员会应当否决其投标。</w:t>
      </w:r>
    </w:p>
    <w:p>
      <w:pPr>
        <w:spacing w:line="360" w:lineRule="auto"/>
        <w:ind w:firstLine="210" w:firstLineChars="100"/>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）投标文件中的大写金额与小写金额不一致的，以大写金额为准；</w:t>
      </w:r>
    </w:p>
    <w:p>
      <w:pPr>
        <w:spacing w:line="360" w:lineRule="auto"/>
        <w:ind w:firstLine="210" w:firstLineChars="10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）总价金额与根据单价计算出的结果不一致的，以单价金额为准修正总价，但单价金额小数点有明显错误的除外。</w:t>
      </w:r>
    </w:p>
    <w:p>
      <w:pPr>
        <w:spacing w:line="360" w:lineRule="auto"/>
        <w:ind w:firstLine="422" w:firstLineChars="200"/>
        <w:rPr>
          <w:rFonts w:ascii="宋体"/>
          <w:b/>
          <w:bCs/>
          <w:szCs w:val="21"/>
        </w:rPr>
      </w:pPr>
      <w:r>
        <w:rPr>
          <w:rFonts w:hint="eastAsia" w:ascii="宋体" w:hAnsi="宋体"/>
          <w:b/>
          <w:bCs/>
          <w:szCs w:val="21"/>
        </w:rPr>
        <w:t>二、评标规则</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、评标委员会成员只能按本评标细则确定的评分项目、内容、要求进行打分，不能另行列项，否则视为废票。投标人的投标得分为各评委分数的算术平均值。</w:t>
      </w:r>
    </w:p>
    <w:p>
      <w:pPr>
        <w:spacing w:line="360" w:lineRule="auto"/>
        <w:ind w:firstLine="420" w:firstLineChars="200"/>
        <w:rPr>
          <w:rFonts w:ascii="宋体"/>
          <w:bCs/>
          <w:szCs w:val="21"/>
        </w:rPr>
      </w:pPr>
      <w:r>
        <w:rPr>
          <w:rFonts w:ascii="宋体" w:hAnsi="宋体"/>
          <w:bCs/>
          <w:szCs w:val="21"/>
        </w:rPr>
        <w:t>2</w:t>
      </w:r>
      <w:r>
        <w:rPr>
          <w:rFonts w:hint="eastAsia" w:ascii="宋体" w:hAnsi="宋体"/>
          <w:bCs/>
          <w:szCs w:val="21"/>
        </w:rPr>
        <w:t>、评分、计分工作均在监督人员的监督下进行，计分结果经监督人员签字后才有效。</w:t>
      </w:r>
    </w:p>
    <w:p>
      <w:pPr>
        <w:spacing w:line="360" w:lineRule="auto"/>
        <w:ind w:firstLine="420" w:firstLineChars="200"/>
        <w:rPr>
          <w:rFonts w:ascii="宋体"/>
          <w:bCs/>
          <w:szCs w:val="21"/>
        </w:rPr>
      </w:pPr>
      <w:r>
        <w:rPr>
          <w:rFonts w:ascii="宋体" w:hAnsi="宋体"/>
          <w:bCs/>
          <w:szCs w:val="21"/>
        </w:rPr>
        <w:t>3</w:t>
      </w:r>
      <w:r>
        <w:rPr>
          <w:rFonts w:hint="eastAsia" w:ascii="宋体" w:hAnsi="宋体"/>
          <w:bCs/>
          <w:szCs w:val="21"/>
        </w:rPr>
        <w:t>、对于定性评价部分评标委员会成员对各投标人的各项投标文件内容评分时必须根据其自身经验及判断客观评判，将各子项的最高分给予其认为最能满足招标文件该项内容要求的投标人，其它按优劣顺序依次给予适当的评分。</w:t>
      </w:r>
    </w:p>
    <w:p>
      <w:pPr>
        <w:spacing w:line="360" w:lineRule="auto"/>
        <w:ind w:firstLine="420" w:firstLineChars="200"/>
        <w:rPr>
          <w:rFonts w:ascii="宋体"/>
          <w:bCs/>
          <w:szCs w:val="21"/>
        </w:rPr>
      </w:pPr>
      <w:r>
        <w:rPr>
          <w:rFonts w:ascii="宋体" w:hAnsi="宋体"/>
          <w:bCs/>
          <w:szCs w:val="21"/>
        </w:rPr>
        <w:t>4</w:t>
      </w:r>
      <w:r>
        <w:rPr>
          <w:rFonts w:hint="eastAsia" w:ascii="宋体" w:hAnsi="宋体"/>
          <w:bCs/>
          <w:szCs w:val="21"/>
        </w:rPr>
        <w:t>、评分为记名方式，评分由评标委员会成员各自独立打分，不得相互商议。</w:t>
      </w:r>
    </w:p>
    <w:p>
      <w:pPr>
        <w:spacing w:line="360" w:lineRule="auto"/>
        <w:ind w:firstLine="420" w:firstLineChars="200"/>
        <w:rPr>
          <w:rFonts w:ascii="宋体"/>
          <w:bCs/>
          <w:szCs w:val="21"/>
        </w:rPr>
      </w:pPr>
      <w:r>
        <w:rPr>
          <w:rFonts w:ascii="宋体" w:hAnsi="宋体"/>
          <w:bCs/>
          <w:szCs w:val="21"/>
        </w:rPr>
        <w:t>5</w:t>
      </w:r>
      <w:r>
        <w:rPr>
          <w:rFonts w:hint="eastAsia" w:ascii="宋体" w:hAnsi="宋体"/>
          <w:bCs/>
          <w:szCs w:val="21"/>
        </w:rPr>
        <w:t>、评标委员会完成评标后，应当向招标人递交书面评标报告。</w:t>
      </w:r>
    </w:p>
    <w:p>
      <w:pPr>
        <w:pStyle w:val="77"/>
        <w:spacing w:before="240" w:after="120"/>
        <w:ind w:firstLine="2502" w:firstLineChars="890"/>
        <w:jc w:val="both"/>
        <w:rPr>
          <w:rStyle w:val="48"/>
          <w:rFonts w:hint="eastAsia"/>
          <w:b/>
          <w:bCs/>
          <w:sz w:val="28"/>
          <w:szCs w:val="28"/>
        </w:rPr>
      </w:pPr>
      <w:bookmarkStart w:id="504" w:name="_Toc226969316"/>
      <w:bookmarkStart w:id="505" w:name="_Toc107822520"/>
      <w:bookmarkStart w:id="506" w:name="_Toc227057922"/>
      <w:bookmarkStart w:id="507" w:name="_Toc447265562"/>
      <w:bookmarkStart w:id="508" w:name="_Toc447265276"/>
      <w:r>
        <w:rPr>
          <w:rFonts w:ascii="宋体" w:cs="宋体"/>
          <w:b/>
          <w:bCs w:val="0"/>
          <w:kern w:val="0"/>
          <w:sz w:val="28"/>
          <w:szCs w:val="28"/>
        </w:rPr>
        <w:br w:type="page"/>
      </w:r>
      <w:bookmarkStart w:id="509" w:name="_Toc26684"/>
      <w:bookmarkStart w:id="510" w:name="_Toc16175986"/>
      <w:r>
        <w:rPr>
          <w:rStyle w:val="48"/>
          <w:rFonts w:hint="eastAsia"/>
          <w:b/>
          <w:bCs/>
          <w:sz w:val="28"/>
          <w:szCs w:val="28"/>
        </w:rPr>
        <w:t>第四章  招标人技术/服务需求</w:t>
      </w:r>
      <w:bookmarkEnd w:id="509"/>
      <w:bookmarkEnd w:id="510"/>
    </w:p>
    <w:p>
      <w:pPr>
        <w:spacing w:line="360" w:lineRule="auto"/>
        <w:ind w:firstLine="420" w:firstLineChars="200"/>
        <w:rPr>
          <w:rFonts w:ascii="宋体" w:hAnsi="宋体"/>
          <w:bCs/>
          <w:szCs w:val="21"/>
        </w:rPr>
      </w:pPr>
    </w:p>
    <w:p>
      <w:pPr>
        <w:numPr>
          <w:ilvl w:val="0"/>
          <w:numId w:val="4"/>
        </w:numPr>
        <w:spacing w:line="360" w:lineRule="auto"/>
        <w:ind w:firstLine="422" w:firstLineChars="200"/>
        <w:rPr>
          <w:rFonts w:hint="eastAsia" w:ascii="宋体" w:hAnsi="宋体"/>
        </w:rPr>
      </w:pPr>
      <w:r>
        <w:rPr>
          <w:rFonts w:hint="eastAsia" w:ascii="宋体" w:hAnsi="宋体"/>
          <w:b/>
          <w:bCs/>
        </w:rPr>
        <w:t>项目名称：</w:t>
      </w:r>
      <w:r>
        <w:rPr>
          <w:rFonts w:hint="eastAsia" w:ascii="宋体" w:hAnsi="宋体" w:cs="宋体"/>
          <w:bCs/>
          <w:szCs w:val="21"/>
          <w:u w:val="single"/>
        </w:rPr>
        <w:t>S103济枣线山亭区凫城至市中区曾店段改建工程钢材采购</w:t>
      </w:r>
      <w:r>
        <w:rPr>
          <w:rFonts w:hint="eastAsia" w:ascii="宋体" w:hAnsi="宋体"/>
          <w:szCs w:val="21"/>
        </w:rPr>
        <w:t xml:space="preserve">    </w:t>
      </w:r>
      <w:r>
        <w:rPr>
          <w:rFonts w:hint="eastAsia" w:ascii="宋体" w:hAnsi="宋体"/>
        </w:rPr>
        <w:t xml:space="preserve">                           </w:t>
      </w:r>
    </w:p>
    <w:p>
      <w:pPr>
        <w:numPr>
          <w:ilvl w:val="0"/>
          <w:numId w:val="4"/>
        </w:numPr>
        <w:spacing w:line="360" w:lineRule="auto"/>
        <w:ind w:firstLine="422" w:firstLineChars="200"/>
        <w:rPr>
          <w:rFonts w:hint="eastAsia" w:ascii="宋体" w:hAnsi="宋体"/>
          <w:b/>
          <w:bCs/>
        </w:rPr>
      </w:pPr>
      <w:r>
        <w:rPr>
          <w:rFonts w:hint="eastAsia" w:ascii="宋体" w:hAnsi="宋体"/>
          <w:b/>
          <w:bCs/>
        </w:rPr>
        <w:t>项目内容：</w:t>
      </w:r>
    </w:p>
    <w:p>
      <w:pPr>
        <w:pStyle w:val="36"/>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1、工程地点：山东省枣庄市山亭区凫城镇。</w:t>
      </w:r>
    </w:p>
    <w:p>
      <w:pPr>
        <w:pStyle w:val="36"/>
        <w:shd w:val="clear" w:color="auto" w:fill="FFFFFF"/>
        <w:spacing w:before="0" w:beforeAutospacing="0" w:after="0" w:afterAutospacing="0" w:line="380" w:lineRule="exact"/>
        <w:ind w:firstLine="420" w:firstLineChars="200"/>
        <w:rPr>
          <w:rFonts w:cs="Times New Roman"/>
          <w:color w:val="000000" w:themeColor="text1"/>
          <w:kern w:val="2"/>
          <w:sz w:val="21"/>
          <w:szCs w:val="21"/>
          <w14:textFill>
            <w14:solidFill>
              <w14:schemeClr w14:val="tx1"/>
            </w14:solidFill>
          </w14:textFill>
        </w:rPr>
      </w:pPr>
      <w:r>
        <w:rPr>
          <w:rFonts w:hint="eastAsia" w:cs="Times New Roman"/>
          <w:kern w:val="2"/>
          <w:sz w:val="21"/>
          <w:szCs w:val="21"/>
        </w:rPr>
        <w:t>2、招标内容：</w:t>
      </w:r>
      <w:r>
        <w:rPr>
          <w:rFonts w:hint="eastAsia"/>
          <w:bCs/>
          <w:color w:val="auto"/>
          <w:sz w:val="21"/>
          <w:szCs w:val="21"/>
        </w:rPr>
        <w:t>项目所需</w:t>
      </w:r>
      <w:r>
        <w:rPr>
          <w:rFonts w:hint="eastAsia"/>
          <w:bCs/>
          <w:color w:val="auto"/>
          <w:sz w:val="21"/>
          <w:szCs w:val="21"/>
          <w:lang w:val="en-US" w:eastAsia="zh-CN"/>
        </w:rPr>
        <w:t>钢材约5000</w:t>
      </w:r>
      <w:r>
        <w:rPr>
          <w:rFonts w:hint="eastAsia"/>
          <w:bCs/>
          <w:color w:val="auto"/>
          <w:sz w:val="21"/>
          <w:szCs w:val="21"/>
        </w:rPr>
        <w:t>吨</w:t>
      </w:r>
      <w:r>
        <w:rPr>
          <w:rFonts w:hint="eastAsia"/>
          <w:bCs/>
          <w:sz w:val="21"/>
          <w:szCs w:val="21"/>
        </w:rPr>
        <w:t>（数量、品类均为暂估，不作为结算依据，具体结算以</w:t>
      </w:r>
      <w:r>
        <w:rPr>
          <w:rFonts w:hint="eastAsia"/>
          <w:bCs/>
          <w:sz w:val="21"/>
          <w:szCs w:val="21"/>
          <w:lang w:eastAsia="zh-CN"/>
        </w:rPr>
        <w:t>招标人</w:t>
      </w:r>
      <w:r>
        <w:rPr>
          <w:rFonts w:hint="eastAsia"/>
          <w:bCs/>
          <w:sz w:val="21"/>
          <w:szCs w:val="21"/>
        </w:rPr>
        <w:t>实际进货并验收合格的数量为准）</w:t>
      </w:r>
      <w:r>
        <w:rPr>
          <w:rFonts w:cs="Times New Roman"/>
          <w:color w:val="000000" w:themeColor="text1"/>
          <w:kern w:val="2"/>
          <w:sz w:val="21"/>
          <w:szCs w:val="21"/>
          <w14:textFill>
            <w14:solidFill>
              <w14:schemeClr w14:val="tx1"/>
            </w14:solidFill>
          </w14:textFill>
        </w:rPr>
        <w:t>。</w:t>
      </w:r>
    </w:p>
    <w:p>
      <w:pPr>
        <w:pStyle w:val="36"/>
        <w:shd w:val="clear" w:color="auto" w:fill="FFFFFF"/>
        <w:spacing w:before="0" w:beforeAutospacing="0" w:after="0" w:afterAutospacing="0" w:line="380" w:lineRule="exact"/>
        <w:ind w:firstLine="420" w:firstLineChars="200"/>
        <w:rPr>
          <w:rFonts w:hint="eastAsia" w:cs="Times New Roman"/>
          <w:color w:val="000000" w:themeColor="text1"/>
          <w:kern w:val="2"/>
          <w:sz w:val="21"/>
          <w:szCs w:val="21"/>
          <w14:textFill>
            <w14:solidFill>
              <w14:schemeClr w14:val="tx1"/>
            </w14:solidFill>
          </w14:textFill>
        </w:rPr>
      </w:pPr>
      <w:r>
        <w:rPr>
          <w:rFonts w:hint="eastAsia" w:cs="Times New Roman"/>
          <w:bCs/>
          <w:color w:val="000000" w:themeColor="text1"/>
          <w:sz w:val="21"/>
          <w:szCs w:val="21"/>
          <w14:textFill>
            <w14:solidFill>
              <w14:schemeClr w14:val="tx1"/>
            </w14:solidFill>
          </w14:textFill>
        </w:rPr>
        <w:t>3</w:t>
      </w:r>
      <w:r>
        <w:rPr>
          <w:rFonts w:hint="eastAsia" w:cs="Times New Roman"/>
          <w:bCs/>
          <w:color w:val="000000" w:themeColor="text1"/>
          <w:szCs w:val="21"/>
          <w14:textFill>
            <w14:solidFill>
              <w14:schemeClr w14:val="tx1"/>
            </w14:solidFill>
          </w14:textFill>
        </w:rPr>
        <w:t>、</w:t>
      </w:r>
      <w:r>
        <w:rPr>
          <w:rFonts w:hint="eastAsia" w:cs="Times New Roman"/>
          <w:color w:val="000000" w:themeColor="text1"/>
          <w:kern w:val="2"/>
          <w:sz w:val="21"/>
          <w:szCs w:val="21"/>
          <w14:textFill>
            <w14:solidFill>
              <w14:schemeClr w14:val="tx1"/>
            </w14:solidFill>
          </w14:textFill>
        </w:rPr>
        <w:t>采购单位视需要，可对供应单位供应内容作出增减或调整，供应单位应无条件接受。</w:t>
      </w:r>
    </w:p>
    <w:p>
      <w:pPr>
        <w:spacing w:line="360" w:lineRule="auto"/>
        <w:ind w:firstLine="422" w:firstLineChars="200"/>
        <w:rPr>
          <w:rFonts w:hint="eastAsia" w:ascii="宋体" w:hAnsi="宋体"/>
          <w:b/>
          <w:bCs w:val="0"/>
          <w:color w:val="000000" w:themeColor="text1"/>
          <w:szCs w:val="21"/>
          <w14:textFill>
            <w14:solidFill>
              <w14:schemeClr w14:val="tx1"/>
            </w14:solidFill>
          </w14:textFill>
        </w:rPr>
      </w:pPr>
      <w:r>
        <w:rPr>
          <w:rFonts w:hint="eastAsia" w:ascii="宋体" w:hAnsi="宋体"/>
          <w:b/>
          <w:bCs w:val="0"/>
          <w:color w:val="000000" w:themeColor="text1"/>
          <w:szCs w:val="21"/>
          <w14:textFill>
            <w14:solidFill>
              <w14:schemeClr w14:val="tx1"/>
            </w14:solidFill>
          </w14:textFill>
        </w:rPr>
        <w:t>三、报价须知</w:t>
      </w:r>
    </w:p>
    <w:p>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1、本报价编制要求：</w:t>
      </w:r>
      <w:r>
        <w:rPr>
          <w:rFonts w:hint="eastAsia" w:ascii="宋体" w:hAnsi="宋体"/>
          <w:bCs/>
          <w:color w:val="000000" w:themeColor="text1"/>
          <w:szCs w:val="21"/>
          <w:lang w:val="en-US" w:eastAsia="zh-CN"/>
          <w14:textFill>
            <w14:solidFill>
              <w14:schemeClr w14:val="tx1"/>
            </w14:solidFill>
          </w14:textFill>
        </w:rPr>
        <w:t>定</w:t>
      </w:r>
      <w:r>
        <w:rPr>
          <w:rFonts w:hint="eastAsia" w:ascii="宋体" w:hAnsi="宋体"/>
          <w:bCs/>
          <w:color w:val="000000" w:themeColor="text1"/>
          <w:szCs w:val="21"/>
          <w14:textFill>
            <w14:solidFill>
              <w14:schemeClr w14:val="tx1"/>
            </w14:solidFill>
          </w14:textFill>
        </w:rPr>
        <w:t>价参照到货之日前一日的“</w:t>
      </w:r>
      <w:r>
        <w:rPr>
          <w:rFonts w:hint="eastAsia" w:ascii="宋体" w:hAnsi="宋体"/>
          <w:bCs/>
          <w:color w:val="000000" w:themeColor="text1"/>
          <w:szCs w:val="21"/>
          <w:lang w:val="en-US" w:eastAsia="zh-CN"/>
          <w14:textFill>
            <w14:solidFill>
              <w14:schemeClr w14:val="tx1"/>
            </w14:solidFill>
          </w14:textFill>
        </w:rPr>
        <w:t>西本新干线</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西本钢铁网</w:t>
      </w:r>
      <w:r>
        <w:rPr>
          <w:rFonts w:hint="eastAsia" w:ascii="宋体" w:hAnsi="宋体"/>
          <w:bCs/>
          <w:color w:val="000000" w:themeColor="text1"/>
          <w:szCs w:val="21"/>
          <w14:textFill>
            <w14:solidFill>
              <w14:schemeClr w14:val="tx1"/>
            </w14:solidFill>
          </w14:textFill>
        </w:rPr>
        <w:t>”中同品牌同型号价格。</w:t>
      </w:r>
    </w:p>
    <w:p>
      <w:pPr>
        <w:pStyle w:val="2"/>
        <w:rPr>
          <w:rFonts w:hint="default" w:eastAsia="宋体"/>
          <w:lang w:val="en-US" w:eastAsia="zh-CN"/>
        </w:rPr>
      </w:pPr>
      <w:r>
        <w:rPr>
          <w:rFonts w:hint="eastAsia"/>
          <w:b/>
          <w:bCs w:val="0"/>
          <w:color w:val="000000" w:themeColor="text1"/>
          <w:szCs w:val="21"/>
          <w:lang w:val="en-US" w:eastAsia="zh-CN"/>
          <w14:textFill>
            <w14:solidFill>
              <w14:schemeClr w14:val="tx1"/>
            </w14:solidFill>
          </w14:textFill>
        </w:rPr>
        <w:t>四、钢材型号、单位及数量</w:t>
      </w:r>
    </w:p>
    <w:tbl>
      <w:tblPr>
        <w:tblStyle w:val="40"/>
        <w:tblW w:w="8256" w:type="dxa"/>
        <w:tblInd w:w="8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696"/>
        <w:gridCol w:w="1110"/>
        <w:gridCol w:w="1530"/>
        <w:gridCol w:w="1080"/>
        <w:gridCol w:w="2130"/>
        <w:gridCol w:w="17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PMingLiU" w:cs="宋体"/>
                <w:b/>
                <w:bCs/>
                <w:lang w:val="zh-TW" w:eastAsia="zh-TW"/>
              </w:rPr>
            </w:pPr>
            <w:r>
              <w:rPr>
                <w:rFonts w:hint="eastAsia" w:ascii="宋体" w:hAnsi="宋体" w:eastAsia="宋体" w:cs="宋体"/>
                <w:b/>
                <w:bCs/>
                <w:lang w:val="zh-TW" w:eastAsia="zh-TW"/>
              </w:rPr>
              <w:t>序号</w:t>
            </w:r>
          </w:p>
        </w:tc>
        <w:tc>
          <w:tcPr>
            <w:tcW w:w="1110" w:type="dxa"/>
            <w:tcBorders>
              <w:top w:val="single" w:color="000000" w:sz="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hint="eastAsia" w:ascii="宋体" w:hAnsi="宋体" w:eastAsia="宋体" w:cs="宋体"/>
                <w:b/>
                <w:bCs/>
                <w:lang w:val="zh-TW" w:eastAsia="zh-TW"/>
              </w:rPr>
              <w:t>货物名称</w:t>
            </w:r>
          </w:p>
        </w:tc>
        <w:tc>
          <w:tcPr>
            <w:tcW w:w="1530" w:type="dxa"/>
            <w:tcBorders>
              <w:top w:val="single" w:color="000000" w:sz="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PMingLiU" w:cs="宋体"/>
                <w:b/>
                <w:bCs/>
                <w:lang w:val="zh-TW" w:eastAsia="zh-TW"/>
              </w:rPr>
            </w:pPr>
            <w:r>
              <w:rPr>
                <w:rFonts w:hint="eastAsia" w:ascii="宋体" w:hAnsi="宋体" w:eastAsia="宋体" w:cs="宋体"/>
                <w:b/>
                <w:bCs/>
                <w:lang w:val="zh-TW" w:eastAsia="zh-TW"/>
              </w:rPr>
              <w:t>型号</w:t>
            </w:r>
          </w:p>
        </w:tc>
        <w:tc>
          <w:tcPr>
            <w:tcW w:w="1080" w:type="dxa"/>
            <w:tcBorders>
              <w:top w:val="single" w:color="000000" w:sz="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hint="eastAsia" w:ascii="宋体" w:hAnsi="宋体" w:eastAsia="宋体" w:cs="宋体"/>
                <w:b/>
                <w:bCs/>
                <w:lang w:val="zh-TW" w:eastAsia="zh-TW"/>
              </w:rPr>
              <w:t>单位</w:t>
            </w:r>
          </w:p>
        </w:tc>
        <w:tc>
          <w:tcPr>
            <w:tcW w:w="2130" w:type="dxa"/>
            <w:tcBorders>
              <w:top w:val="single" w:color="000000" w:sz="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hint="eastAsia" w:ascii="宋体" w:hAnsi="宋体" w:eastAsia="宋体" w:cs="宋体"/>
                <w:b/>
                <w:bCs/>
                <w:lang w:val="zh-TW" w:eastAsia="zh-TW"/>
              </w:rPr>
              <w:t>税率%</w:t>
            </w:r>
          </w:p>
        </w:tc>
        <w:tc>
          <w:tcPr>
            <w:tcW w:w="1710" w:type="dxa"/>
            <w:tcBorders>
              <w:top w:val="single" w:color="000000" w:sz="2" w:space="0"/>
              <w:left w:val="single" w:color="000000" w:sz="4" w:space="0"/>
              <w:bottom w:val="single" w:color="000000" w:sz="4" w:space="0"/>
              <w:right w:val="single" w:color="000000" w:sz="4" w:space="0"/>
            </w:tcBorders>
            <w:shd w:val="clear" w:color="auto" w:fill="auto"/>
            <w:vAlign w:val="center"/>
          </w:tcPr>
          <w:p>
            <w:pPr>
              <w:widowControl w:val="0"/>
              <w:spacing w:line="400" w:lineRule="exact"/>
              <w:jc w:val="center"/>
              <w:rPr>
                <w:rFonts w:hint="eastAsia" w:ascii="宋体" w:hAnsi="宋体" w:eastAsia="宋体" w:cs="宋体"/>
                <w:b/>
                <w:bCs/>
              </w:rPr>
            </w:pPr>
            <w:r>
              <w:rPr>
                <w:rFonts w:hint="eastAsia" w:ascii="宋体" w:hAnsi="宋体" w:eastAsia="宋体" w:cs="宋体"/>
                <w:b/>
                <w:bCs/>
              </w:rPr>
              <w:t>暂定数量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kern w:val="2"/>
                <w:sz w:val="21"/>
                <w:szCs w:val="24"/>
                <w:lang w:val="en-US" w:eastAsia="zh-CN" w:bidi="ar-SA"/>
              </w:rPr>
            </w:pPr>
            <w:r>
              <w:rPr>
                <w:rFonts w:hint="eastAsia" w:ascii="宋体" w:hAnsi="宋体" w:cs="宋体"/>
                <w:b/>
                <w:bCs/>
                <w:lang w:val="en-US" w:eastAsia="zh-CN"/>
              </w:rPr>
              <w:t>1</w:t>
            </w:r>
          </w:p>
        </w:tc>
        <w:tc>
          <w:tcPr>
            <w:tcW w:w="1110" w:type="dxa"/>
            <w:tcBorders>
              <w:top w:val="single" w:color="000000" w:sz="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kern w:val="2"/>
                <w:sz w:val="21"/>
                <w:szCs w:val="24"/>
                <w:lang w:val="zh-TW" w:eastAsia="zh-TW" w:bidi="ar-SA"/>
              </w:rPr>
            </w:pPr>
            <w:r>
              <w:rPr>
                <w:rFonts w:ascii="宋体" w:hAnsi="宋体" w:eastAsia="宋体" w:cs="宋体"/>
                <w:b/>
                <w:bCs/>
                <w:lang w:val="zh-TW" w:eastAsia="zh-TW"/>
              </w:rPr>
              <w:t>钢材</w:t>
            </w:r>
          </w:p>
        </w:tc>
        <w:tc>
          <w:tcPr>
            <w:tcW w:w="1530" w:type="dxa"/>
            <w:tcBorders>
              <w:top w:val="single" w:color="000000" w:sz="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rPr>
                <w:rFonts w:hint="eastAsia" w:ascii="宋体" w:hAnsi="宋体" w:eastAsia="宋体" w:cs="宋体"/>
                <w:b/>
                <w:bCs/>
                <w:kern w:val="2"/>
                <w:sz w:val="21"/>
                <w:szCs w:val="24"/>
                <w:lang w:val="en-US" w:eastAsia="zh-CN" w:bidi="ar-SA"/>
              </w:rPr>
            </w:pPr>
            <w:r>
              <w:rPr>
                <w:rFonts w:hint="eastAsia" w:ascii="宋体" w:hAnsi="宋体" w:cs="宋体"/>
                <w:b/>
                <w:bCs/>
                <w:lang w:val="en-US" w:eastAsia="zh-CN"/>
              </w:rPr>
              <w:t>高线光圆</w:t>
            </w:r>
            <w:r>
              <w:rPr>
                <w:rFonts w:hint="eastAsia" w:ascii="宋体" w:hAnsi="宋体" w:eastAsia="宋体" w:cs="宋体"/>
                <w:b/>
                <w:bCs/>
              </w:rPr>
              <w:t>φ8</w:t>
            </w:r>
          </w:p>
        </w:tc>
        <w:tc>
          <w:tcPr>
            <w:tcW w:w="1080" w:type="dxa"/>
            <w:tcBorders>
              <w:top w:val="single" w:color="000000" w:sz="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kern w:val="2"/>
                <w:sz w:val="21"/>
                <w:szCs w:val="24"/>
                <w:lang w:val="zh-TW" w:eastAsia="zh-TW" w:bidi="ar-SA"/>
              </w:rPr>
            </w:pPr>
            <w:r>
              <w:rPr>
                <w:rFonts w:hint="eastAsia" w:ascii="宋体" w:hAnsi="宋体" w:eastAsia="宋体" w:cs="宋体"/>
                <w:b/>
                <w:bCs/>
                <w:lang w:val="zh-TW"/>
              </w:rPr>
              <w:t>t</w:t>
            </w:r>
          </w:p>
        </w:tc>
        <w:tc>
          <w:tcPr>
            <w:tcW w:w="2130" w:type="dxa"/>
            <w:tcBorders>
              <w:top w:val="single" w:color="000000" w:sz="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kern w:val="2"/>
                <w:sz w:val="21"/>
                <w:szCs w:val="24"/>
                <w:lang w:val="zh-TW" w:eastAsia="zh-TW" w:bidi="ar-SA"/>
              </w:rPr>
            </w:pPr>
            <w:r>
              <w:rPr>
                <w:rFonts w:hint="eastAsia" w:ascii="宋体" w:hAnsi="宋体" w:eastAsia="宋体" w:cs="宋体"/>
                <w:b/>
                <w:bCs/>
              </w:rPr>
              <w:t>13%</w:t>
            </w:r>
          </w:p>
        </w:tc>
        <w:tc>
          <w:tcPr>
            <w:tcW w:w="1710" w:type="dxa"/>
            <w:tcBorders>
              <w:top w:val="single" w:color="000000" w:sz="2" w:space="0"/>
              <w:left w:val="single" w:color="000000" w:sz="4" w:space="0"/>
              <w:bottom w:val="single" w:color="000000" w:sz="4" w:space="0"/>
              <w:right w:val="single" w:color="000000" w:sz="4" w:space="0"/>
            </w:tcBorders>
            <w:shd w:val="clear" w:color="auto" w:fill="auto"/>
            <w:vAlign w:val="center"/>
          </w:tcPr>
          <w:p>
            <w:pPr>
              <w:widowControl w:val="0"/>
              <w:spacing w:line="400" w:lineRule="exact"/>
              <w:jc w:val="center"/>
              <w:rPr>
                <w:rFonts w:hint="eastAsia" w:ascii="宋体" w:hAnsi="宋体" w:eastAsia="宋体" w:cs="宋体"/>
                <w:b/>
                <w:bCs/>
                <w:kern w:val="2"/>
                <w:sz w:val="21"/>
                <w:szCs w:val="24"/>
                <w:lang w:val="en-US" w:eastAsia="zh-CN" w:bidi="ar-SA"/>
              </w:rPr>
            </w:pPr>
            <w:r>
              <w:rPr>
                <w:rFonts w:ascii="宋体" w:hAnsi="宋体" w:eastAsia="宋体" w:cs="宋体"/>
                <w:b/>
                <w:bCs/>
              </w:rPr>
              <w:t>2</w:t>
            </w:r>
            <w:r>
              <w:rPr>
                <w:rFonts w:hint="eastAsia" w:ascii="宋体" w:hAnsi="宋体" w:cs="宋体"/>
                <w:b/>
                <w:bCs/>
                <w:lang w:val="en-US" w:eastAsia="zh-CN"/>
              </w:rPr>
              <w:t>42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eastAsia="zh-CN"/>
              </w:rPr>
            </w:pPr>
            <w:r>
              <w:rPr>
                <w:rFonts w:hint="eastAsia" w:ascii="宋体" w:hAnsi="宋体" w:cs="宋体"/>
                <w:b/>
                <w:bCs/>
                <w:lang w:val="en-US" w:eastAsia="zh-CN"/>
              </w:rPr>
              <w:t>2</w:t>
            </w:r>
          </w:p>
        </w:tc>
        <w:tc>
          <w:tcPr>
            <w:tcW w:w="1110" w:type="dxa"/>
            <w:tcBorders>
              <w:top w:val="single" w:color="000000" w:sz="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ascii="宋体" w:hAnsi="宋体" w:eastAsia="宋体" w:cs="宋体"/>
                <w:b/>
                <w:bCs/>
                <w:lang w:val="zh-TW" w:eastAsia="zh-TW"/>
              </w:rPr>
              <w:t>钢材</w:t>
            </w:r>
          </w:p>
        </w:tc>
        <w:tc>
          <w:tcPr>
            <w:tcW w:w="1530" w:type="dxa"/>
            <w:tcBorders>
              <w:top w:val="single" w:color="000000" w:sz="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both"/>
              <w:rPr>
                <w:rFonts w:ascii="宋体" w:hAnsi="宋体" w:eastAsia="宋体" w:cs="宋体"/>
                <w:b/>
                <w:bCs/>
              </w:rPr>
            </w:pPr>
            <w:r>
              <w:rPr>
                <w:rFonts w:hint="eastAsia" w:ascii="宋体" w:hAnsi="宋体" w:cs="宋体"/>
                <w:b/>
                <w:bCs/>
                <w:lang w:val="en-US" w:eastAsia="zh-CN"/>
              </w:rPr>
              <w:t>高线光圆</w:t>
            </w:r>
            <w:r>
              <w:rPr>
                <w:rFonts w:hint="eastAsia" w:ascii="宋体" w:hAnsi="宋体" w:eastAsia="宋体" w:cs="宋体"/>
                <w:b/>
                <w:bCs/>
              </w:rPr>
              <w:t>φ10</w:t>
            </w:r>
          </w:p>
        </w:tc>
        <w:tc>
          <w:tcPr>
            <w:tcW w:w="1080" w:type="dxa"/>
            <w:tcBorders>
              <w:top w:val="single" w:color="000000" w:sz="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PMingLiU" w:cs="宋体"/>
                <w:b/>
                <w:bCs/>
                <w:lang w:val="zh-TW" w:eastAsia="zh-TW"/>
              </w:rPr>
            </w:pPr>
            <w:r>
              <w:rPr>
                <w:rFonts w:ascii="宋体" w:hAnsi="宋体" w:eastAsia="PMingLiU" w:cs="宋体"/>
                <w:b/>
                <w:bCs/>
                <w:lang w:val="zh-TW" w:eastAsia="zh-TW"/>
              </w:rPr>
              <w:t>t</w:t>
            </w:r>
          </w:p>
        </w:tc>
        <w:tc>
          <w:tcPr>
            <w:tcW w:w="2130" w:type="dxa"/>
            <w:tcBorders>
              <w:top w:val="single" w:color="000000" w:sz="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hint="eastAsia" w:ascii="宋体" w:hAnsi="宋体" w:eastAsia="宋体" w:cs="宋体"/>
                <w:b/>
                <w:bCs/>
              </w:rPr>
              <w:t>13%</w:t>
            </w:r>
          </w:p>
        </w:tc>
        <w:tc>
          <w:tcPr>
            <w:tcW w:w="1710" w:type="dxa"/>
            <w:tcBorders>
              <w:top w:val="single" w:color="000000" w:sz="2" w:space="0"/>
              <w:left w:val="single" w:color="000000" w:sz="4" w:space="0"/>
              <w:bottom w:val="single" w:color="000000" w:sz="4" w:space="0"/>
              <w:right w:val="single" w:color="000000" w:sz="4" w:space="0"/>
            </w:tcBorders>
            <w:shd w:val="clear" w:color="auto" w:fill="auto"/>
            <w:vAlign w:val="center"/>
          </w:tcPr>
          <w:p>
            <w:pPr>
              <w:widowControl w:val="0"/>
              <w:spacing w:line="400" w:lineRule="exact"/>
              <w:jc w:val="center"/>
              <w:rPr>
                <w:rFonts w:hint="eastAsia" w:ascii="宋体" w:hAnsi="宋体" w:eastAsia="宋体" w:cs="宋体"/>
                <w:b/>
                <w:bCs/>
                <w:lang w:eastAsia="zh-CN"/>
              </w:rPr>
            </w:pPr>
            <w:r>
              <w:rPr>
                <w:rFonts w:ascii="宋体" w:hAnsi="宋体" w:eastAsia="宋体" w:cs="宋体"/>
                <w:b/>
                <w:bCs/>
              </w:rPr>
              <w:t>6</w:t>
            </w:r>
            <w:r>
              <w:rPr>
                <w:rFonts w:hint="eastAsia" w:ascii="宋体" w:hAnsi="宋体" w:cs="宋体"/>
                <w:b/>
                <w:bCs/>
                <w:lang w:val="en-US" w:eastAsia="zh-CN"/>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eastAsia="zh-CN"/>
              </w:rPr>
            </w:pPr>
            <w:r>
              <w:rPr>
                <w:rFonts w:hint="eastAsia" w:ascii="宋体" w:hAnsi="宋体" w:cs="宋体"/>
                <w:b/>
                <w:bCs/>
                <w:lang w:val="en-US" w:eastAsia="zh-CN"/>
              </w:rPr>
              <w:t>3</w:t>
            </w:r>
          </w:p>
        </w:tc>
        <w:tc>
          <w:tcPr>
            <w:tcW w:w="111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ascii="宋体" w:hAnsi="宋体" w:eastAsia="宋体" w:cs="宋体"/>
                <w:b/>
                <w:bCs/>
                <w:lang w:val="zh-TW" w:eastAsia="zh-TW"/>
              </w:rPr>
              <w:t>钢材</w:t>
            </w:r>
          </w:p>
        </w:tc>
        <w:tc>
          <w:tcPr>
            <w:tcW w:w="15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rPr>
            </w:pPr>
            <w:r>
              <w:rPr>
                <w:rFonts w:hint="eastAsia" w:ascii="宋体" w:hAnsi="宋体" w:eastAsia="宋体" w:cs="宋体"/>
                <w:b/>
                <w:bCs/>
              </w:rPr>
              <w:t>螺纹φ12</w:t>
            </w:r>
          </w:p>
        </w:tc>
        <w:tc>
          <w:tcPr>
            <w:tcW w:w="108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rPr>
            </w:pPr>
            <w:r>
              <w:rPr>
                <w:rFonts w:hint="eastAsia" w:ascii="宋体" w:hAnsi="宋体" w:eastAsia="宋体" w:cs="宋体"/>
                <w:b/>
                <w:bCs/>
                <w:lang w:val="zh-TW"/>
              </w:rPr>
              <w:t>t</w:t>
            </w:r>
          </w:p>
        </w:tc>
        <w:tc>
          <w:tcPr>
            <w:tcW w:w="21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hint="eastAsia" w:ascii="宋体" w:hAnsi="宋体" w:eastAsia="宋体" w:cs="宋体"/>
                <w:b/>
                <w:bCs/>
              </w:rPr>
              <w:t>13%</w:t>
            </w:r>
          </w:p>
        </w:tc>
        <w:tc>
          <w:tcPr>
            <w:tcW w:w="1710" w:type="dxa"/>
            <w:tcBorders>
              <w:top w:val="single" w:color="000000" w:sz="2" w:space="0"/>
              <w:left w:val="single" w:color="000000" w:sz="4" w:space="0"/>
              <w:bottom w:val="single" w:color="000000" w:sz="2" w:space="0"/>
              <w:right w:val="single" w:color="000000" w:sz="4" w:space="0"/>
            </w:tcBorders>
            <w:shd w:val="clear" w:color="auto" w:fill="auto"/>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533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eastAsia="zh-CN"/>
              </w:rPr>
            </w:pPr>
            <w:r>
              <w:rPr>
                <w:rFonts w:hint="eastAsia" w:ascii="宋体" w:hAnsi="宋体" w:cs="宋体"/>
                <w:b/>
                <w:bCs/>
                <w:lang w:val="en-US" w:eastAsia="zh-CN"/>
              </w:rPr>
              <w:t>4</w:t>
            </w:r>
          </w:p>
        </w:tc>
        <w:tc>
          <w:tcPr>
            <w:tcW w:w="111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hint="eastAsia" w:ascii="宋体" w:hAnsi="宋体" w:eastAsia="宋体" w:cs="宋体"/>
                <w:b/>
                <w:bCs/>
                <w:lang w:val="zh-TW" w:eastAsia="zh-TW"/>
              </w:rPr>
              <w:t>钢材</w:t>
            </w:r>
          </w:p>
        </w:tc>
        <w:tc>
          <w:tcPr>
            <w:tcW w:w="15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rPr>
            </w:pPr>
            <w:r>
              <w:rPr>
                <w:rFonts w:hint="eastAsia" w:ascii="宋体" w:hAnsi="宋体" w:cs="宋体"/>
                <w:b/>
                <w:bCs/>
                <w:lang w:val="en-US" w:eastAsia="zh-CN"/>
              </w:rPr>
              <w:t>光圆</w:t>
            </w:r>
            <w:r>
              <w:rPr>
                <w:rFonts w:hint="eastAsia" w:ascii="宋体" w:hAnsi="宋体" w:eastAsia="宋体" w:cs="宋体"/>
                <w:b/>
                <w:bCs/>
              </w:rPr>
              <w:t>φ14</w:t>
            </w:r>
          </w:p>
        </w:tc>
        <w:tc>
          <w:tcPr>
            <w:tcW w:w="108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rPr>
            </w:pPr>
            <w:r>
              <w:rPr>
                <w:rFonts w:hint="eastAsia" w:ascii="宋体" w:hAnsi="宋体" w:eastAsia="宋体" w:cs="宋体"/>
                <w:b/>
                <w:bCs/>
                <w:lang w:val="zh-TW"/>
              </w:rPr>
              <w:t>t</w:t>
            </w:r>
          </w:p>
        </w:tc>
        <w:tc>
          <w:tcPr>
            <w:tcW w:w="21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hint="eastAsia" w:ascii="宋体" w:hAnsi="宋体" w:eastAsia="宋体" w:cs="宋体"/>
                <w:b/>
                <w:bCs/>
              </w:rPr>
              <w:t>13%</w:t>
            </w:r>
          </w:p>
        </w:tc>
        <w:tc>
          <w:tcPr>
            <w:tcW w:w="1710" w:type="dxa"/>
            <w:tcBorders>
              <w:top w:val="single" w:color="000000" w:sz="2" w:space="0"/>
              <w:left w:val="single" w:color="000000" w:sz="4" w:space="0"/>
              <w:bottom w:val="single" w:color="000000" w:sz="2" w:space="0"/>
              <w:right w:val="single" w:color="000000" w:sz="4" w:space="0"/>
            </w:tcBorders>
            <w:shd w:val="clear" w:color="auto" w:fill="auto"/>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50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eastAsia="zh-CN"/>
              </w:rPr>
            </w:pPr>
            <w:r>
              <w:rPr>
                <w:rFonts w:hint="eastAsia" w:ascii="宋体" w:hAnsi="宋体" w:cs="宋体"/>
                <w:b/>
                <w:bCs/>
                <w:lang w:val="en-US" w:eastAsia="zh-CN"/>
              </w:rPr>
              <w:t>5</w:t>
            </w:r>
          </w:p>
        </w:tc>
        <w:tc>
          <w:tcPr>
            <w:tcW w:w="111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hint="eastAsia" w:ascii="宋体" w:hAnsi="宋体" w:eastAsia="宋体" w:cs="宋体"/>
                <w:b/>
                <w:bCs/>
                <w:lang w:val="zh-TW" w:eastAsia="zh-TW"/>
              </w:rPr>
              <w:t>钢材</w:t>
            </w:r>
          </w:p>
        </w:tc>
        <w:tc>
          <w:tcPr>
            <w:tcW w:w="15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rPr>
            </w:pPr>
            <w:r>
              <w:rPr>
                <w:rFonts w:hint="eastAsia" w:ascii="宋体" w:hAnsi="宋体" w:eastAsia="宋体" w:cs="宋体"/>
                <w:b/>
                <w:bCs/>
              </w:rPr>
              <w:t>螺纹φ16</w:t>
            </w:r>
          </w:p>
        </w:tc>
        <w:tc>
          <w:tcPr>
            <w:tcW w:w="108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rPr>
            </w:pPr>
            <w:r>
              <w:rPr>
                <w:rFonts w:hint="eastAsia" w:ascii="宋体" w:hAnsi="宋体" w:eastAsia="宋体" w:cs="宋体"/>
                <w:b/>
                <w:bCs/>
                <w:lang w:val="zh-TW"/>
              </w:rPr>
              <w:t>t</w:t>
            </w:r>
          </w:p>
        </w:tc>
        <w:tc>
          <w:tcPr>
            <w:tcW w:w="21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hint="eastAsia" w:ascii="宋体" w:hAnsi="宋体" w:eastAsia="宋体" w:cs="宋体"/>
                <w:b/>
                <w:bCs/>
              </w:rPr>
              <w:t>13%</w:t>
            </w:r>
          </w:p>
        </w:tc>
        <w:tc>
          <w:tcPr>
            <w:tcW w:w="1710" w:type="dxa"/>
            <w:tcBorders>
              <w:top w:val="single" w:color="000000" w:sz="2" w:space="0"/>
              <w:left w:val="single" w:color="000000" w:sz="4" w:space="0"/>
              <w:bottom w:val="single" w:color="000000" w:sz="2" w:space="0"/>
              <w:right w:val="single" w:color="000000" w:sz="4" w:space="0"/>
            </w:tcBorders>
            <w:shd w:val="clear" w:color="auto" w:fill="auto"/>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151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eastAsia="zh-CN"/>
              </w:rPr>
            </w:pPr>
            <w:r>
              <w:rPr>
                <w:rFonts w:hint="eastAsia" w:ascii="宋体" w:hAnsi="宋体" w:cs="宋体"/>
                <w:b/>
                <w:bCs/>
                <w:lang w:val="en-US" w:eastAsia="zh-CN"/>
              </w:rPr>
              <w:t>6</w:t>
            </w:r>
          </w:p>
        </w:tc>
        <w:tc>
          <w:tcPr>
            <w:tcW w:w="111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hint="eastAsia" w:ascii="宋体" w:hAnsi="宋体" w:eastAsia="宋体" w:cs="宋体"/>
                <w:b/>
                <w:bCs/>
                <w:lang w:val="zh-TW" w:eastAsia="zh-TW"/>
              </w:rPr>
              <w:t>钢材</w:t>
            </w:r>
          </w:p>
        </w:tc>
        <w:tc>
          <w:tcPr>
            <w:tcW w:w="15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rPr>
            </w:pPr>
            <w:r>
              <w:rPr>
                <w:rFonts w:hint="eastAsia" w:ascii="宋体" w:hAnsi="宋体" w:eastAsia="宋体" w:cs="宋体"/>
                <w:b/>
                <w:bCs/>
              </w:rPr>
              <w:t>螺纹φ20</w:t>
            </w:r>
          </w:p>
        </w:tc>
        <w:tc>
          <w:tcPr>
            <w:tcW w:w="108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rPr>
            </w:pPr>
            <w:r>
              <w:rPr>
                <w:rFonts w:hint="eastAsia" w:ascii="宋体" w:hAnsi="宋体" w:eastAsia="宋体" w:cs="宋体"/>
                <w:b/>
                <w:bCs/>
                <w:lang w:val="zh-TW"/>
              </w:rPr>
              <w:t>t</w:t>
            </w:r>
          </w:p>
        </w:tc>
        <w:tc>
          <w:tcPr>
            <w:tcW w:w="21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hint="eastAsia" w:ascii="宋体" w:hAnsi="宋体" w:eastAsia="宋体" w:cs="宋体"/>
                <w:b/>
                <w:bCs/>
              </w:rPr>
              <w:t>13%</w:t>
            </w:r>
          </w:p>
        </w:tc>
        <w:tc>
          <w:tcPr>
            <w:tcW w:w="1710" w:type="dxa"/>
            <w:tcBorders>
              <w:top w:val="single" w:color="000000" w:sz="2" w:space="0"/>
              <w:left w:val="single" w:color="000000" w:sz="4" w:space="0"/>
              <w:bottom w:val="single" w:color="000000" w:sz="2" w:space="0"/>
              <w:right w:val="single" w:color="000000" w:sz="4" w:space="0"/>
            </w:tcBorders>
            <w:shd w:val="clear" w:color="auto" w:fill="auto"/>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133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eastAsia="zh-CN"/>
              </w:rPr>
            </w:pPr>
            <w:r>
              <w:rPr>
                <w:rFonts w:hint="eastAsia" w:ascii="宋体" w:hAnsi="宋体" w:cs="宋体"/>
                <w:b/>
                <w:bCs/>
                <w:lang w:val="en-US" w:eastAsia="zh-CN"/>
              </w:rPr>
              <w:t>7</w:t>
            </w:r>
          </w:p>
        </w:tc>
        <w:tc>
          <w:tcPr>
            <w:tcW w:w="111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ascii="宋体" w:hAnsi="宋体" w:eastAsia="宋体" w:cs="宋体"/>
                <w:b/>
                <w:bCs/>
                <w:lang w:val="zh-TW" w:eastAsia="zh-TW"/>
              </w:rPr>
              <w:t>钢材</w:t>
            </w:r>
          </w:p>
        </w:tc>
        <w:tc>
          <w:tcPr>
            <w:tcW w:w="15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rPr>
            </w:pPr>
            <w:r>
              <w:rPr>
                <w:rFonts w:hint="eastAsia" w:ascii="宋体" w:hAnsi="宋体" w:eastAsia="宋体" w:cs="宋体"/>
                <w:b/>
                <w:bCs/>
              </w:rPr>
              <w:t>螺纹φ22</w:t>
            </w:r>
          </w:p>
        </w:tc>
        <w:tc>
          <w:tcPr>
            <w:tcW w:w="108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rPr>
            </w:pPr>
            <w:r>
              <w:rPr>
                <w:rFonts w:hint="eastAsia" w:ascii="宋体" w:hAnsi="宋体" w:eastAsia="宋体" w:cs="宋体"/>
                <w:b/>
                <w:bCs/>
                <w:lang w:val="zh-TW"/>
              </w:rPr>
              <w:t>t</w:t>
            </w:r>
          </w:p>
        </w:tc>
        <w:tc>
          <w:tcPr>
            <w:tcW w:w="21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hint="eastAsia" w:ascii="宋体" w:hAnsi="宋体" w:eastAsia="宋体" w:cs="宋体"/>
                <w:b/>
                <w:bCs/>
              </w:rPr>
              <w:t>13%</w:t>
            </w:r>
          </w:p>
        </w:tc>
        <w:tc>
          <w:tcPr>
            <w:tcW w:w="1710" w:type="dxa"/>
            <w:tcBorders>
              <w:top w:val="single" w:color="000000" w:sz="2" w:space="0"/>
              <w:left w:val="single" w:color="000000" w:sz="4" w:space="0"/>
              <w:bottom w:val="single" w:color="000000" w:sz="2" w:space="0"/>
              <w:right w:val="single" w:color="000000" w:sz="4" w:space="0"/>
            </w:tcBorders>
            <w:shd w:val="clear" w:color="auto" w:fill="auto"/>
            <w:vAlign w:val="center"/>
          </w:tcPr>
          <w:p>
            <w:pPr>
              <w:widowControl w:val="0"/>
              <w:spacing w:line="400" w:lineRule="exact"/>
              <w:jc w:val="center"/>
              <w:rPr>
                <w:rFonts w:ascii="宋体" w:hAnsi="宋体" w:eastAsia="宋体" w:cs="宋体"/>
                <w:b/>
                <w:bCs/>
              </w:rPr>
            </w:pPr>
            <w:r>
              <w:rPr>
                <w:rFonts w:ascii="宋体" w:hAnsi="宋体" w:eastAsia="宋体" w:cs="宋体"/>
                <w:b/>
                <w:bCs/>
              </w:rPr>
              <w:t>1</w:t>
            </w:r>
            <w:r>
              <w:rPr>
                <w:rFonts w:hint="eastAsia" w:ascii="宋体" w:hAnsi="宋体" w:cs="宋体"/>
                <w:b/>
                <w:bCs/>
                <w:lang w:val="en-US" w:eastAsia="zh-CN"/>
              </w:rPr>
              <w:t>1</w:t>
            </w:r>
            <w:r>
              <w:rPr>
                <w:rFonts w:ascii="宋体" w:hAnsi="宋体" w:eastAsia="宋体" w:cs="宋体"/>
                <w:b/>
                <w:bCs/>
              </w:rPr>
              <w:t>05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eastAsia="zh-CN"/>
              </w:rPr>
            </w:pPr>
            <w:r>
              <w:rPr>
                <w:rFonts w:hint="eastAsia" w:ascii="宋体" w:hAnsi="宋体" w:cs="宋体"/>
                <w:b/>
                <w:bCs/>
                <w:lang w:val="en-US" w:eastAsia="zh-CN"/>
              </w:rPr>
              <w:t>8</w:t>
            </w:r>
          </w:p>
        </w:tc>
        <w:tc>
          <w:tcPr>
            <w:tcW w:w="111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hint="eastAsia" w:ascii="宋体" w:hAnsi="宋体" w:eastAsia="宋体" w:cs="宋体"/>
                <w:b/>
                <w:bCs/>
                <w:lang w:val="zh-TW" w:eastAsia="zh-TW"/>
              </w:rPr>
              <w:t>钢材</w:t>
            </w:r>
          </w:p>
        </w:tc>
        <w:tc>
          <w:tcPr>
            <w:tcW w:w="15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rPr>
            </w:pPr>
            <w:r>
              <w:rPr>
                <w:rFonts w:hint="eastAsia" w:ascii="宋体" w:hAnsi="宋体" w:eastAsia="宋体" w:cs="宋体"/>
                <w:b/>
                <w:bCs/>
              </w:rPr>
              <w:t>螺纹φ25</w:t>
            </w:r>
          </w:p>
        </w:tc>
        <w:tc>
          <w:tcPr>
            <w:tcW w:w="108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rPr>
            </w:pPr>
            <w:r>
              <w:rPr>
                <w:rFonts w:hint="eastAsia" w:ascii="宋体" w:hAnsi="宋体" w:eastAsia="宋体" w:cs="宋体"/>
                <w:b/>
                <w:bCs/>
                <w:lang w:val="zh-TW"/>
              </w:rPr>
              <w:t>t</w:t>
            </w:r>
          </w:p>
        </w:tc>
        <w:tc>
          <w:tcPr>
            <w:tcW w:w="21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hint="eastAsia" w:ascii="宋体" w:hAnsi="宋体" w:eastAsia="宋体" w:cs="宋体"/>
                <w:b/>
                <w:bCs/>
              </w:rPr>
              <w:t>13%</w:t>
            </w:r>
          </w:p>
        </w:tc>
        <w:tc>
          <w:tcPr>
            <w:tcW w:w="1710" w:type="dxa"/>
            <w:tcBorders>
              <w:top w:val="single" w:color="000000" w:sz="2" w:space="0"/>
              <w:left w:val="single" w:color="000000" w:sz="4" w:space="0"/>
              <w:bottom w:val="single" w:color="000000" w:sz="2" w:space="0"/>
              <w:right w:val="single" w:color="000000" w:sz="4" w:space="0"/>
            </w:tcBorders>
            <w:shd w:val="clear" w:color="auto" w:fill="auto"/>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679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eastAsia="zh-CN"/>
              </w:rPr>
            </w:pPr>
            <w:r>
              <w:rPr>
                <w:rFonts w:hint="eastAsia" w:ascii="宋体" w:hAnsi="宋体" w:cs="宋体"/>
                <w:b/>
                <w:bCs/>
                <w:lang w:val="en-US" w:eastAsia="zh-CN"/>
              </w:rPr>
              <w:t>9</w:t>
            </w:r>
          </w:p>
        </w:tc>
        <w:tc>
          <w:tcPr>
            <w:tcW w:w="111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hint="eastAsia" w:ascii="宋体" w:hAnsi="宋体" w:eastAsia="宋体" w:cs="宋体"/>
                <w:b/>
                <w:bCs/>
                <w:lang w:val="zh-TW" w:eastAsia="zh-TW"/>
              </w:rPr>
              <w:t>钢材</w:t>
            </w:r>
          </w:p>
        </w:tc>
        <w:tc>
          <w:tcPr>
            <w:tcW w:w="15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rPr>
            </w:pPr>
            <w:r>
              <w:rPr>
                <w:rFonts w:hint="eastAsia" w:ascii="宋体" w:hAnsi="宋体" w:eastAsia="宋体" w:cs="宋体"/>
                <w:b/>
                <w:bCs/>
              </w:rPr>
              <w:t>螺纹φ28</w:t>
            </w:r>
          </w:p>
        </w:tc>
        <w:tc>
          <w:tcPr>
            <w:tcW w:w="108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rPr>
            </w:pPr>
            <w:r>
              <w:rPr>
                <w:rFonts w:hint="eastAsia" w:ascii="宋体" w:hAnsi="宋体" w:eastAsia="宋体" w:cs="宋体"/>
                <w:b/>
                <w:bCs/>
                <w:lang w:val="zh-TW"/>
              </w:rPr>
              <w:t>t</w:t>
            </w:r>
          </w:p>
        </w:tc>
        <w:tc>
          <w:tcPr>
            <w:tcW w:w="21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ascii="宋体" w:hAnsi="宋体" w:eastAsia="宋体" w:cs="宋体"/>
                <w:b/>
                <w:bCs/>
                <w:lang w:val="zh-TW" w:eastAsia="zh-TW"/>
              </w:rPr>
            </w:pPr>
            <w:r>
              <w:rPr>
                <w:rFonts w:hint="eastAsia" w:ascii="宋体" w:hAnsi="宋体" w:eastAsia="宋体" w:cs="宋体"/>
                <w:b/>
                <w:bCs/>
              </w:rPr>
              <w:t>13%</w:t>
            </w:r>
          </w:p>
        </w:tc>
        <w:tc>
          <w:tcPr>
            <w:tcW w:w="1710" w:type="dxa"/>
            <w:tcBorders>
              <w:top w:val="single" w:color="000000" w:sz="2" w:space="0"/>
              <w:left w:val="single" w:color="000000" w:sz="4" w:space="0"/>
              <w:bottom w:val="single" w:color="000000" w:sz="2" w:space="0"/>
              <w:right w:val="single" w:color="000000" w:sz="4" w:space="0"/>
            </w:tcBorders>
            <w:shd w:val="clear" w:color="auto" w:fill="auto"/>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28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10</w:t>
            </w:r>
          </w:p>
        </w:tc>
        <w:tc>
          <w:tcPr>
            <w:tcW w:w="111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eastAsia="zh-TW"/>
              </w:rPr>
            </w:pPr>
            <w:r>
              <w:rPr>
                <w:rFonts w:hint="eastAsia" w:ascii="宋体" w:hAnsi="宋体" w:eastAsia="宋体" w:cs="宋体"/>
                <w:b/>
                <w:bCs/>
                <w:lang w:val="zh-TW" w:eastAsia="zh-TW"/>
              </w:rPr>
              <w:t>钢材</w:t>
            </w:r>
          </w:p>
        </w:tc>
        <w:tc>
          <w:tcPr>
            <w:tcW w:w="15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rPr>
            </w:pPr>
            <w:r>
              <w:rPr>
                <w:rFonts w:hint="eastAsia" w:ascii="宋体" w:hAnsi="宋体" w:eastAsia="宋体" w:cs="宋体"/>
                <w:b/>
                <w:bCs/>
              </w:rPr>
              <w:t>螺纹φ</w:t>
            </w:r>
            <w:r>
              <w:rPr>
                <w:rFonts w:ascii="宋体" w:hAnsi="宋体" w:eastAsia="宋体" w:cs="宋体"/>
                <w:b/>
                <w:bCs/>
              </w:rPr>
              <w:t>32</w:t>
            </w:r>
          </w:p>
        </w:tc>
        <w:tc>
          <w:tcPr>
            <w:tcW w:w="108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rPr>
            </w:pPr>
            <w:r>
              <w:rPr>
                <w:rFonts w:hint="eastAsia" w:ascii="宋体" w:hAnsi="宋体" w:eastAsia="宋体" w:cs="宋体"/>
                <w:b/>
                <w:bCs/>
                <w:lang w:val="zh-TW"/>
              </w:rPr>
              <w:t>t</w:t>
            </w:r>
          </w:p>
        </w:tc>
        <w:tc>
          <w:tcPr>
            <w:tcW w:w="21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rPr>
            </w:pPr>
            <w:r>
              <w:rPr>
                <w:rFonts w:hint="eastAsia" w:ascii="宋体" w:hAnsi="宋体" w:eastAsia="宋体" w:cs="宋体"/>
                <w:b/>
                <w:bCs/>
              </w:rPr>
              <w:t>13%</w:t>
            </w:r>
          </w:p>
        </w:tc>
        <w:tc>
          <w:tcPr>
            <w:tcW w:w="1710" w:type="dxa"/>
            <w:tcBorders>
              <w:top w:val="single" w:color="000000" w:sz="2" w:space="0"/>
              <w:left w:val="single" w:color="000000" w:sz="4" w:space="0"/>
              <w:bottom w:val="single" w:color="000000" w:sz="2" w:space="0"/>
              <w:right w:val="single" w:color="000000" w:sz="4" w:space="0"/>
            </w:tcBorders>
            <w:shd w:val="clear" w:color="auto" w:fill="auto"/>
            <w:vAlign w:val="center"/>
          </w:tcPr>
          <w:p>
            <w:pPr>
              <w:widowControl w:val="0"/>
              <w:spacing w:line="400" w:lineRule="exact"/>
              <w:jc w:val="center"/>
              <w:rPr>
                <w:rFonts w:hint="eastAsia" w:ascii="宋体" w:hAnsi="宋体" w:eastAsia="宋体" w:cs="宋体"/>
                <w:b/>
                <w:bCs/>
                <w:lang w:eastAsia="zh-CN"/>
              </w:rPr>
            </w:pPr>
            <w:r>
              <w:rPr>
                <w:rFonts w:ascii="宋体" w:hAnsi="宋体" w:eastAsia="宋体" w:cs="宋体"/>
                <w:b/>
                <w:bCs/>
              </w:rPr>
              <w:t>6</w:t>
            </w:r>
            <w:r>
              <w:rPr>
                <w:rFonts w:hint="eastAsia" w:ascii="宋体" w:hAnsi="宋体" w:cs="宋体"/>
                <w:b/>
                <w:bCs/>
                <w:lang w:val="en-US" w:eastAsia="zh-CN"/>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PMingLiU" w:cs="宋体"/>
                <w:b/>
                <w:bCs/>
                <w:lang w:val="zh-TW" w:eastAsia="zh-TW"/>
              </w:rPr>
            </w:pPr>
            <w:r>
              <w:rPr>
                <w:rFonts w:hint="eastAsia" w:ascii="宋体" w:hAnsi="宋体" w:cs="宋体" w:eastAsiaTheme="minorEastAsia"/>
                <w:b/>
                <w:bCs/>
                <w:lang w:val="zh-TW"/>
              </w:rPr>
              <w:t>1</w:t>
            </w:r>
            <w:r>
              <w:rPr>
                <w:rFonts w:ascii="宋体" w:hAnsi="宋体" w:eastAsia="PMingLiU" w:cs="宋体"/>
                <w:b/>
                <w:bCs/>
                <w:lang w:val="zh-TW" w:eastAsia="zh-TW"/>
              </w:rPr>
              <w:t>1</w:t>
            </w:r>
          </w:p>
        </w:tc>
        <w:tc>
          <w:tcPr>
            <w:tcW w:w="111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PMingLiU" w:cs="宋体"/>
                <w:b/>
                <w:bCs/>
                <w:lang w:val="zh-TW" w:eastAsia="zh-TW"/>
              </w:rPr>
            </w:pPr>
            <w:r>
              <w:rPr>
                <w:rFonts w:hint="eastAsia" w:ascii="宋体" w:hAnsi="宋体" w:eastAsia="宋体" w:cs="宋体"/>
                <w:b/>
                <w:bCs/>
                <w:lang w:val="zh-TW" w:eastAsia="zh-TW"/>
              </w:rPr>
              <w:t>工字钢</w:t>
            </w:r>
          </w:p>
        </w:tc>
        <w:tc>
          <w:tcPr>
            <w:tcW w:w="15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en-US" w:eastAsia="zh-CN"/>
              </w:rPr>
            </w:pPr>
            <w:r>
              <w:rPr>
                <w:rFonts w:hint="eastAsia" w:ascii="宋体" w:hAnsi="宋体" w:cs="宋体"/>
                <w:b/>
                <w:bCs/>
                <w:lang w:val="en-US" w:eastAsia="zh-CN"/>
              </w:rPr>
              <w:t>#</w:t>
            </w:r>
            <w:r>
              <w:rPr>
                <w:rFonts w:ascii="宋体" w:hAnsi="宋体" w:eastAsia="宋体" w:cs="宋体"/>
                <w:b/>
                <w:bCs/>
              </w:rPr>
              <w:t>25</w:t>
            </w:r>
          </w:p>
        </w:tc>
        <w:tc>
          <w:tcPr>
            <w:tcW w:w="108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rPr>
            </w:pPr>
            <w:r>
              <w:rPr>
                <w:rFonts w:hint="eastAsia" w:ascii="宋体" w:hAnsi="宋体" w:eastAsia="宋体" w:cs="宋体"/>
                <w:b/>
                <w:bCs/>
                <w:lang w:val="zh-TW"/>
              </w:rPr>
              <w:t>t</w:t>
            </w:r>
          </w:p>
        </w:tc>
        <w:tc>
          <w:tcPr>
            <w:tcW w:w="21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rPr>
            </w:pPr>
            <w:r>
              <w:rPr>
                <w:rFonts w:hint="eastAsia" w:ascii="宋体" w:hAnsi="宋体" w:eastAsia="宋体" w:cs="宋体"/>
                <w:b/>
                <w:bCs/>
              </w:rPr>
              <w:t>13%</w:t>
            </w:r>
          </w:p>
        </w:tc>
        <w:tc>
          <w:tcPr>
            <w:tcW w:w="1710" w:type="dxa"/>
            <w:tcBorders>
              <w:top w:val="single" w:color="000000" w:sz="2" w:space="0"/>
              <w:left w:val="single" w:color="000000" w:sz="4" w:space="0"/>
              <w:bottom w:val="single" w:color="000000" w:sz="2" w:space="0"/>
              <w:right w:val="single" w:color="000000" w:sz="4" w:space="0"/>
            </w:tcBorders>
            <w:shd w:val="clear" w:color="auto" w:fill="auto"/>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PMingLiU" w:cs="宋体"/>
                <w:b/>
                <w:bCs/>
                <w:lang w:val="zh-TW" w:eastAsia="zh-TW"/>
              </w:rPr>
            </w:pPr>
            <w:r>
              <w:rPr>
                <w:rFonts w:hint="eastAsia" w:ascii="宋体" w:hAnsi="宋体" w:cs="宋体" w:eastAsiaTheme="minorEastAsia"/>
                <w:b/>
                <w:bCs/>
                <w:lang w:val="zh-TW"/>
              </w:rPr>
              <w:t>1</w:t>
            </w:r>
            <w:r>
              <w:rPr>
                <w:rFonts w:ascii="宋体" w:hAnsi="宋体" w:eastAsia="PMingLiU" w:cs="宋体"/>
                <w:b/>
                <w:bCs/>
                <w:lang w:val="zh-TW" w:eastAsia="zh-TW"/>
              </w:rPr>
              <w:t>2</w:t>
            </w:r>
          </w:p>
        </w:tc>
        <w:tc>
          <w:tcPr>
            <w:tcW w:w="111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eastAsia="zh-TW"/>
              </w:rPr>
            </w:pPr>
            <w:r>
              <w:rPr>
                <w:rFonts w:hint="eastAsia" w:ascii="宋体" w:hAnsi="宋体" w:eastAsia="宋体" w:cs="宋体"/>
                <w:b/>
                <w:bCs/>
                <w:lang w:val="zh-TW" w:eastAsia="zh-TW"/>
              </w:rPr>
              <w:t>工字钢</w:t>
            </w:r>
          </w:p>
        </w:tc>
        <w:tc>
          <w:tcPr>
            <w:tcW w:w="15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#20</w:t>
            </w:r>
          </w:p>
        </w:tc>
        <w:tc>
          <w:tcPr>
            <w:tcW w:w="108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rPr>
            </w:pPr>
            <w:r>
              <w:rPr>
                <w:rFonts w:hint="eastAsia" w:ascii="宋体" w:hAnsi="宋体" w:eastAsia="宋体" w:cs="宋体"/>
                <w:b/>
                <w:bCs/>
                <w:lang w:val="zh-TW"/>
              </w:rPr>
              <w:t>t</w:t>
            </w:r>
          </w:p>
        </w:tc>
        <w:tc>
          <w:tcPr>
            <w:tcW w:w="21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rPr>
            </w:pPr>
            <w:r>
              <w:rPr>
                <w:rFonts w:hint="eastAsia" w:ascii="宋体" w:hAnsi="宋体" w:eastAsia="宋体" w:cs="宋体"/>
                <w:b/>
                <w:bCs/>
              </w:rPr>
              <w:t>13%</w:t>
            </w:r>
          </w:p>
        </w:tc>
        <w:tc>
          <w:tcPr>
            <w:tcW w:w="1710" w:type="dxa"/>
            <w:tcBorders>
              <w:top w:val="single" w:color="000000" w:sz="2" w:space="0"/>
              <w:left w:val="single" w:color="000000" w:sz="4" w:space="0"/>
              <w:bottom w:val="single" w:color="000000" w:sz="2" w:space="0"/>
              <w:right w:val="single" w:color="000000" w:sz="4" w:space="0"/>
            </w:tcBorders>
            <w:shd w:val="clear" w:color="auto" w:fill="auto"/>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852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default" w:ascii="宋体" w:hAnsi="宋体" w:cs="宋体" w:eastAsiaTheme="minorEastAsia"/>
                <w:b/>
                <w:bCs/>
                <w:lang w:val="en-US" w:eastAsia="zh-CN"/>
              </w:rPr>
            </w:pPr>
            <w:r>
              <w:rPr>
                <w:rFonts w:hint="eastAsia" w:ascii="宋体" w:hAnsi="宋体" w:cs="宋体" w:eastAsiaTheme="minorEastAsia"/>
                <w:b/>
                <w:bCs/>
                <w:lang w:val="en-US" w:eastAsia="zh-CN"/>
              </w:rPr>
              <w:t>13</w:t>
            </w:r>
          </w:p>
        </w:tc>
        <w:tc>
          <w:tcPr>
            <w:tcW w:w="111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rPr>
            </w:pPr>
            <w:r>
              <w:rPr>
                <w:rFonts w:hint="eastAsia" w:ascii="宋体" w:hAnsi="宋体" w:eastAsia="宋体" w:cs="宋体"/>
                <w:b/>
                <w:bCs/>
                <w:lang w:val="zh-TW" w:eastAsia="zh-TW"/>
              </w:rPr>
              <w:t>工字钢</w:t>
            </w:r>
          </w:p>
        </w:tc>
        <w:tc>
          <w:tcPr>
            <w:tcW w:w="15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#18</w:t>
            </w:r>
          </w:p>
        </w:tc>
        <w:tc>
          <w:tcPr>
            <w:tcW w:w="108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en-US" w:eastAsia="zh-CN"/>
              </w:rPr>
            </w:pPr>
            <w:r>
              <w:rPr>
                <w:rFonts w:hint="eastAsia" w:ascii="宋体" w:hAnsi="宋体" w:cs="宋体"/>
                <w:b/>
                <w:bCs/>
                <w:lang w:val="en-US" w:eastAsia="zh-CN"/>
              </w:rPr>
              <w:t>t</w:t>
            </w:r>
          </w:p>
        </w:tc>
        <w:tc>
          <w:tcPr>
            <w:tcW w:w="21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rPr>
            </w:pPr>
            <w:r>
              <w:rPr>
                <w:rFonts w:hint="eastAsia" w:ascii="宋体" w:hAnsi="宋体" w:eastAsia="宋体" w:cs="宋体"/>
                <w:b/>
                <w:bCs/>
              </w:rPr>
              <w:t>13%</w:t>
            </w:r>
          </w:p>
        </w:tc>
        <w:tc>
          <w:tcPr>
            <w:tcW w:w="1710" w:type="dxa"/>
            <w:tcBorders>
              <w:top w:val="single" w:color="000000" w:sz="2" w:space="0"/>
              <w:left w:val="single" w:color="000000" w:sz="4" w:space="0"/>
              <w:bottom w:val="single" w:color="000000" w:sz="2" w:space="0"/>
              <w:right w:val="single" w:color="000000" w:sz="4" w:space="0"/>
            </w:tcBorders>
            <w:shd w:val="clear" w:color="auto" w:fill="auto"/>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434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eastAsiaTheme="minorEastAsia"/>
                <w:b/>
                <w:bCs/>
                <w:lang w:val="en-US" w:eastAsia="zh-CN"/>
              </w:rPr>
              <w:t>14</w:t>
            </w:r>
          </w:p>
        </w:tc>
        <w:tc>
          <w:tcPr>
            <w:tcW w:w="111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PMingLiU" w:cs="宋体"/>
                <w:b/>
                <w:bCs/>
                <w:lang w:val="zh-TW" w:eastAsia="zh-TW"/>
              </w:rPr>
            </w:pPr>
            <w:r>
              <w:rPr>
                <w:rFonts w:hint="eastAsia" w:ascii="宋体" w:hAnsi="宋体" w:eastAsia="宋体" w:cs="宋体"/>
                <w:b/>
                <w:bCs/>
                <w:lang w:val="zh-TW" w:eastAsia="zh-TW"/>
              </w:rPr>
              <w:t>工字钢</w:t>
            </w:r>
          </w:p>
        </w:tc>
        <w:tc>
          <w:tcPr>
            <w:tcW w:w="15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#16</w:t>
            </w:r>
          </w:p>
        </w:tc>
        <w:tc>
          <w:tcPr>
            <w:tcW w:w="108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rPr>
            </w:pPr>
            <w:r>
              <w:rPr>
                <w:rFonts w:hint="eastAsia" w:ascii="宋体" w:hAnsi="宋体" w:eastAsia="宋体" w:cs="宋体"/>
                <w:b/>
                <w:bCs/>
                <w:lang w:val="zh-TW"/>
              </w:rPr>
              <w:t>t</w:t>
            </w:r>
          </w:p>
        </w:tc>
        <w:tc>
          <w:tcPr>
            <w:tcW w:w="21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rPr>
            </w:pPr>
            <w:r>
              <w:rPr>
                <w:rFonts w:hint="eastAsia" w:ascii="宋体" w:hAnsi="宋体" w:eastAsia="宋体" w:cs="宋体"/>
                <w:b/>
                <w:bCs/>
              </w:rPr>
              <w:t>13%</w:t>
            </w:r>
          </w:p>
        </w:tc>
        <w:tc>
          <w:tcPr>
            <w:tcW w:w="1710" w:type="dxa"/>
            <w:tcBorders>
              <w:top w:val="single" w:color="000000" w:sz="2" w:space="0"/>
              <w:left w:val="single" w:color="000000" w:sz="4" w:space="0"/>
              <w:bottom w:val="single" w:color="000000" w:sz="2" w:space="0"/>
              <w:right w:val="single" w:color="000000" w:sz="4" w:space="0"/>
            </w:tcBorders>
            <w:shd w:val="clear" w:color="auto" w:fill="auto"/>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29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eastAsiaTheme="minorEastAsia"/>
                <w:b/>
                <w:bCs/>
                <w:lang w:val="en-US" w:eastAsia="zh-CN"/>
              </w:rPr>
              <w:t>15</w:t>
            </w:r>
          </w:p>
        </w:tc>
        <w:tc>
          <w:tcPr>
            <w:tcW w:w="111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PMingLiU" w:cs="宋体"/>
                <w:b/>
                <w:bCs/>
                <w:lang w:val="zh-TW" w:eastAsia="zh-TW"/>
              </w:rPr>
            </w:pPr>
            <w:r>
              <w:rPr>
                <w:rFonts w:hint="eastAsia" w:ascii="宋体" w:hAnsi="宋体" w:eastAsia="宋体" w:cs="宋体"/>
                <w:b/>
                <w:bCs/>
                <w:lang w:val="zh-TW"/>
              </w:rPr>
              <w:t>钢板</w:t>
            </w:r>
          </w:p>
        </w:tc>
        <w:tc>
          <w:tcPr>
            <w:tcW w:w="15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rPr>
            </w:pPr>
            <w:r>
              <w:rPr>
                <w:rFonts w:hint="eastAsia" w:ascii="宋体" w:hAnsi="宋体" w:cs="宋体"/>
                <w:b/>
                <w:bCs/>
                <w:lang w:val="en-US" w:eastAsia="zh-CN"/>
              </w:rPr>
              <w:t>#16</w:t>
            </w:r>
          </w:p>
        </w:tc>
        <w:tc>
          <w:tcPr>
            <w:tcW w:w="108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eastAsia="zh-TW"/>
              </w:rPr>
            </w:pPr>
            <w:r>
              <w:rPr>
                <w:rFonts w:hint="eastAsia" w:ascii="宋体" w:hAnsi="宋体" w:eastAsia="宋体" w:cs="宋体"/>
                <w:b/>
                <w:bCs/>
                <w:lang w:val="zh-TW" w:eastAsia="zh-TW"/>
              </w:rPr>
              <w:t>t</w:t>
            </w:r>
          </w:p>
        </w:tc>
        <w:tc>
          <w:tcPr>
            <w:tcW w:w="21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rPr>
            </w:pPr>
            <w:r>
              <w:rPr>
                <w:rFonts w:hint="eastAsia" w:ascii="宋体" w:hAnsi="宋体" w:eastAsia="宋体" w:cs="宋体"/>
                <w:b/>
                <w:bCs/>
              </w:rPr>
              <w:t>13%</w:t>
            </w:r>
          </w:p>
        </w:tc>
        <w:tc>
          <w:tcPr>
            <w:tcW w:w="1710" w:type="dxa"/>
            <w:tcBorders>
              <w:top w:val="single" w:color="000000" w:sz="2" w:space="0"/>
              <w:left w:val="single" w:color="000000" w:sz="4" w:space="0"/>
              <w:bottom w:val="single" w:color="000000" w:sz="2" w:space="0"/>
              <w:right w:val="single" w:color="000000" w:sz="4" w:space="0"/>
            </w:tcBorders>
            <w:shd w:val="clear" w:color="auto" w:fill="auto"/>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224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49" w:hRule="atLeast"/>
        </w:trPr>
        <w:tc>
          <w:tcPr>
            <w:tcW w:w="696" w:type="dxa"/>
            <w:tcBorders>
              <w:top w:val="single" w:color="000000" w:sz="2" w:space="0"/>
              <w:left w:val="single" w:color="000000" w:sz="2"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cs="宋体" w:eastAsiaTheme="minorEastAsia"/>
                <w:b/>
                <w:bCs/>
                <w:lang w:val="zh-TW" w:eastAsia="zh-CN"/>
              </w:rPr>
            </w:pPr>
            <w:r>
              <w:rPr>
                <w:rFonts w:hint="eastAsia" w:ascii="宋体" w:hAnsi="宋体" w:cs="宋体" w:eastAsiaTheme="minorEastAsia"/>
                <w:b/>
                <w:bCs/>
                <w:lang w:val="zh-TW"/>
              </w:rPr>
              <w:t>1</w:t>
            </w:r>
            <w:r>
              <w:rPr>
                <w:rFonts w:hint="eastAsia" w:ascii="宋体" w:hAnsi="宋体" w:cs="宋体"/>
                <w:b/>
                <w:bCs/>
                <w:lang w:val="en-US" w:eastAsia="zh-CN"/>
              </w:rPr>
              <w:t>6</w:t>
            </w:r>
          </w:p>
        </w:tc>
        <w:tc>
          <w:tcPr>
            <w:tcW w:w="111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PMingLiU" w:cs="宋体"/>
                <w:b/>
                <w:bCs/>
                <w:lang w:val="zh-TW" w:eastAsia="zh-TW"/>
              </w:rPr>
            </w:pPr>
            <w:r>
              <w:rPr>
                <w:rFonts w:hint="eastAsia" w:ascii="宋体" w:hAnsi="宋体" w:eastAsia="宋体" w:cs="宋体"/>
                <w:b/>
                <w:bCs/>
                <w:lang w:val="zh-TW"/>
              </w:rPr>
              <w:t>钢管</w:t>
            </w:r>
          </w:p>
        </w:tc>
        <w:tc>
          <w:tcPr>
            <w:tcW w:w="15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eastAsia="宋体" w:cs="宋体"/>
                <w:b/>
                <w:bCs/>
              </w:rPr>
              <w:t>φ</w:t>
            </w:r>
            <w:r>
              <w:rPr>
                <w:rFonts w:hint="eastAsia" w:ascii="宋体" w:hAnsi="宋体" w:cs="宋体"/>
                <w:b/>
                <w:bCs/>
                <w:lang w:val="en-US" w:eastAsia="zh-CN"/>
              </w:rPr>
              <w:t>40</w:t>
            </w:r>
          </w:p>
        </w:tc>
        <w:tc>
          <w:tcPr>
            <w:tcW w:w="108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lang w:val="zh-TW" w:eastAsia="zh-TW"/>
              </w:rPr>
            </w:pPr>
            <w:r>
              <w:rPr>
                <w:rFonts w:hint="eastAsia" w:ascii="宋体" w:hAnsi="宋体" w:eastAsia="宋体" w:cs="宋体"/>
                <w:b/>
                <w:bCs/>
                <w:lang w:val="zh-TW" w:eastAsia="zh-TW"/>
              </w:rPr>
              <w:t>t</w:t>
            </w:r>
          </w:p>
        </w:tc>
        <w:tc>
          <w:tcPr>
            <w:tcW w:w="2130" w:type="dxa"/>
            <w:tcBorders>
              <w:top w:val="single" w:color="000000" w:sz="2" w:space="0"/>
              <w:left w:val="single" w:color="000000" w:sz="4" w:space="0"/>
              <w:bottom w:val="single" w:color="000000" w:sz="2" w:space="0"/>
              <w:right w:val="single" w:color="000000" w:sz="4" w:space="0"/>
            </w:tcBorders>
            <w:shd w:val="clear" w:color="auto" w:fill="auto"/>
            <w:tcMar>
              <w:top w:w="80" w:type="dxa"/>
              <w:left w:w="80" w:type="dxa"/>
              <w:bottom w:w="80" w:type="dxa"/>
              <w:right w:w="80" w:type="dxa"/>
            </w:tcMar>
            <w:vAlign w:val="center"/>
          </w:tcPr>
          <w:p>
            <w:pPr>
              <w:widowControl w:val="0"/>
              <w:spacing w:line="400" w:lineRule="exact"/>
              <w:jc w:val="center"/>
              <w:rPr>
                <w:rFonts w:hint="eastAsia" w:ascii="宋体" w:hAnsi="宋体" w:eastAsia="宋体" w:cs="宋体"/>
                <w:b/>
                <w:bCs/>
              </w:rPr>
            </w:pPr>
            <w:r>
              <w:rPr>
                <w:rFonts w:hint="eastAsia" w:ascii="宋体" w:hAnsi="宋体" w:eastAsia="宋体" w:cs="宋体"/>
                <w:b/>
                <w:bCs/>
              </w:rPr>
              <w:t>13%</w:t>
            </w:r>
          </w:p>
        </w:tc>
        <w:tc>
          <w:tcPr>
            <w:tcW w:w="1710" w:type="dxa"/>
            <w:tcBorders>
              <w:top w:val="single" w:color="000000" w:sz="2" w:space="0"/>
              <w:left w:val="single" w:color="000000" w:sz="4" w:space="0"/>
              <w:bottom w:val="single" w:color="000000" w:sz="2" w:space="0"/>
              <w:right w:val="single" w:color="000000" w:sz="4" w:space="0"/>
            </w:tcBorders>
            <w:shd w:val="clear" w:color="auto" w:fill="auto"/>
            <w:vAlign w:val="center"/>
          </w:tcPr>
          <w:p>
            <w:pPr>
              <w:widowControl w:val="0"/>
              <w:spacing w:line="400" w:lineRule="exact"/>
              <w:jc w:val="center"/>
              <w:rPr>
                <w:rFonts w:hint="default" w:ascii="宋体" w:hAnsi="宋体" w:eastAsia="宋体" w:cs="宋体"/>
                <w:b/>
                <w:bCs/>
                <w:lang w:val="en-US" w:eastAsia="zh-CN"/>
              </w:rPr>
            </w:pPr>
            <w:r>
              <w:rPr>
                <w:rFonts w:hint="eastAsia" w:ascii="宋体" w:hAnsi="宋体" w:cs="宋体"/>
                <w:b/>
                <w:bCs/>
                <w:lang w:val="en-US" w:eastAsia="zh-CN"/>
              </w:rPr>
              <w:t>308</w:t>
            </w:r>
          </w:p>
        </w:tc>
      </w:tr>
    </w:tbl>
    <w:p>
      <w:pPr>
        <w:pStyle w:val="2"/>
        <w:rPr>
          <w:rFonts w:hint="default" w:eastAsia="宋体"/>
          <w:lang w:val="en-US" w:eastAsia="zh-CN"/>
        </w:rPr>
      </w:pPr>
    </w:p>
    <w:p>
      <w:pPr>
        <w:spacing w:line="360" w:lineRule="auto"/>
        <w:ind w:firstLine="422" w:firstLineChars="200"/>
        <w:rPr>
          <w:rFonts w:hint="eastAsia" w:ascii="宋体" w:hAnsi="宋体"/>
          <w:bCs/>
          <w:color w:val="000000" w:themeColor="text1"/>
          <w:szCs w:val="21"/>
          <w14:textFill>
            <w14:solidFill>
              <w14:schemeClr w14:val="tx1"/>
            </w14:solidFill>
          </w14:textFill>
        </w:rPr>
      </w:pPr>
      <w:r>
        <w:rPr>
          <w:rFonts w:hint="eastAsia" w:ascii="宋体" w:hAnsi="宋体"/>
          <w:b/>
          <w:bCs w:val="0"/>
          <w:color w:val="000000" w:themeColor="text1"/>
          <w:szCs w:val="21"/>
          <w:lang w:val="en-US" w:eastAsia="zh-CN"/>
          <w14:textFill>
            <w14:solidFill>
              <w14:schemeClr w14:val="tx1"/>
            </w14:solidFill>
          </w14:textFill>
        </w:rPr>
        <w:t>五</w:t>
      </w:r>
      <w:r>
        <w:rPr>
          <w:rFonts w:hint="eastAsia" w:ascii="宋体" w:hAnsi="宋体"/>
          <w:b/>
          <w:bCs w:val="0"/>
          <w:color w:val="000000" w:themeColor="text1"/>
          <w:szCs w:val="21"/>
          <w14:textFill>
            <w14:solidFill>
              <w14:schemeClr w14:val="tx1"/>
            </w14:solidFill>
          </w14:textFill>
        </w:rPr>
        <w:t>、报价编制注意事项</w:t>
      </w:r>
      <w:r>
        <w:rPr>
          <w:rFonts w:hint="eastAsia" w:ascii="宋体" w:hAnsi="宋体"/>
          <w:bCs/>
          <w:color w:val="000000" w:themeColor="text1"/>
          <w:szCs w:val="21"/>
          <w14:textFill>
            <w14:solidFill>
              <w14:schemeClr w14:val="tx1"/>
            </w14:solidFill>
          </w14:textFill>
        </w:rPr>
        <w:t xml:space="preserve">   </w:t>
      </w:r>
    </w:p>
    <w:p>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1、本工程报价方式为： 参考市场信息价（13%的增值税专用发票）。</w:t>
      </w:r>
    </w:p>
    <w:p>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2、供应单位自行到现场踏勘，充分了解工地情况等影响报价的各项因素，所有所须费用自行考虑到报价中。</w:t>
      </w:r>
    </w:p>
    <w:p>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3、</w:t>
      </w:r>
      <w:r>
        <w:rPr>
          <w:rFonts w:hint="eastAsia" w:ascii="宋体" w:hAnsi="宋体"/>
          <w:bCs/>
          <w:color w:val="000000" w:themeColor="text1"/>
          <w:szCs w:val="21"/>
          <w14:textFill>
            <w14:solidFill>
              <w14:schemeClr w14:val="tx1"/>
            </w14:solidFill>
          </w14:textFill>
        </w:rPr>
        <w:t>供应数量：暂定</w:t>
      </w:r>
      <w:r>
        <w:rPr>
          <w:rFonts w:hint="eastAsia" w:ascii="宋体" w:hAnsi="宋体"/>
          <w:bCs/>
          <w:color w:val="000000" w:themeColor="text1"/>
          <w:szCs w:val="21"/>
          <w:lang w:val="en-US" w:eastAsia="zh-CN"/>
          <w14:textFill>
            <w14:solidFill>
              <w14:schemeClr w14:val="tx1"/>
            </w14:solidFill>
          </w14:textFill>
        </w:rPr>
        <w:t>约5000</w:t>
      </w:r>
      <w:r>
        <w:rPr>
          <w:rFonts w:hint="eastAsia" w:ascii="宋体" w:hAnsi="宋体"/>
          <w:bCs/>
          <w:color w:val="000000" w:themeColor="text1"/>
          <w:szCs w:val="21"/>
          <w14:textFill>
            <w14:solidFill>
              <w14:schemeClr w14:val="tx1"/>
            </w14:solidFill>
          </w14:textFill>
        </w:rPr>
        <w:t>吨，</w:t>
      </w:r>
      <w:r>
        <w:rPr>
          <w:rFonts w:hint="eastAsia" w:ascii="宋体" w:hAnsi="宋体"/>
          <w:bCs/>
          <w:color w:val="000000" w:themeColor="text1"/>
          <w:szCs w:val="21"/>
          <w:lang w:eastAsia="zh-CN"/>
          <w14:textFill>
            <w14:solidFill>
              <w14:schemeClr w14:val="tx1"/>
            </w14:solidFill>
          </w14:textFill>
        </w:rPr>
        <w:t>招标人</w:t>
      </w:r>
      <w:r>
        <w:rPr>
          <w:rFonts w:hint="eastAsia" w:ascii="宋体" w:hAnsi="宋体"/>
          <w:bCs/>
          <w:color w:val="000000" w:themeColor="text1"/>
          <w:szCs w:val="21"/>
          <w14:textFill>
            <w14:solidFill>
              <w14:schemeClr w14:val="tx1"/>
            </w14:solidFill>
          </w14:textFill>
        </w:rPr>
        <w:t>分批要货，每批钢材规格、数量详见</w:t>
      </w:r>
      <w:r>
        <w:rPr>
          <w:rFonts w:hint="eastAsia" w:ascii="宋体" w:hAnsi="宋体"/>
          <w:bCs/>
          <w:color w:val="000000" w:themeColor="text1"/>
          <w:szCs w:val="21"/>
          <w:lang w:eastAsia="zh-CN"/>
          <w14:textFill>
            <w14:solidFill>
              <w14:schemeClr w14:val="tx1"/>
            </w14:solidFill>
          </w14:textFill>
        </w:rPr>
        <w:t>招标人</w:t>
      </w:r>
      <w:r>
        <w:rPr>
          <w:rFonts w:hint="eastAsia" w:ascii="宋体" w:hAnsi="宋体"/>
          <w:bCs/>
          <w:color w:val="000000" w:themeColor="text1"/>
          <w:szCs w:val="21"/>
          <w14:textFill>
            <w14:solidFill>
              <w14:schemeClr w14:val="tx1"/>
            </w14:solidFill>
          </w14:textFill>
        </w:rPr>
        <w:t>要货计划单。钢材厂家根据</w:t>
      </w:r>
      <w:r>
        <w:rPr>
          <w:rFonts w:hint="eastAsia" w:ascii="宋体" w:hAnsi="宋体"/>
          <w:bCs/>
          <w:color w:val="000000" w:themeColor="text1"/>
          <w:szCs w:val="21"/>
          <w:lang w:eastAsia="zh-CN"/>
          <w14:textFill>
            <w14:solidFill>
              <w14:schemeClr w14:val="tx1"/>
            </w14:solidFill>
          </w14:textFill>
        </w:rPr>
        <w:t>招标人</w:t>
      </w:r>
      <w:r>
        <w:rPr>
          <w:rFonts w:hint="eastAsia" w:ascii="宋体" w:hAnsi="宋体"/>
          <w:bCs/>
          <w:color w:val="000000" w:themeColor="text1"/>
          <w:szCs w:val="21"/>
          <w14:textFill>
            <w14:solidFill>
              <w14:schemeClr w14:val="tx1"/>
            </w14:solidFill>
          </w14:textFill>
        </w:rPr>
        <w:t>要求，以工程实际进度用量为准。</w:t>
      </w:r>
    </w:p>
    <w:p>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auto"/>
          <w:szCs w:val="21"/>
        </w:rPr>
        <w:t>根据</w:t>
      </w:r>
      <w:r>
        <w:rPr>
          <w:rFonts w:hint="eastAsia" w:ascii="宋体" w:hAnsi="宋体"/>
          <w:bCs/>
          <w:color w:val="auto"/>
          <w:szCs w:val="21"/>
          <w:lang w:eastAsia="zh-CN"/>
        </w:rPr>
        <w:t>招标人</w:t>
      </w:r>
      <w:r>
        <w:rPr>
          <w:rFonts w:hint="eastAsia" w:ascii="宋体" w:hAnsi="宋体"/>
          <w:bCs/>
          <w:color w:val="auto"/>
          <w:szCs w:val="21"/>
        </w:rPr>
        <w:t>提供供货通知单的要求，</w:t>
      </w:r>
      <w:r>
        <w:rPr>
          <w:rFonts w:hint="eastAsia" w:ascii="宋体" w:hAnsi="宋体"/>
          <w:bCs/>
          <w:color w:val="auto"/>
          <w:szCs w:val="21"/>
          <w:lang w:eastAsia="zh-CN"/>
        </w:rPr>
        <w:t>中标人</w:t>
      </w:r>
      <w:r>
        <w:rPr>
          <w:rFonts w:hint="eastAsia" w:ascii="宋体" w:hAnsi="宋体"/>
          <w:bCs/>
          <w:color w:val="auto"/>
          <w:szCs w:val="21"/>
        </w:rPr>
        <w:t>所提供各品种规格型号的钢材必须附有厂家的产品质量证书，并符合国家相关的建筑钢材质量标准。</w:t>
      </w:r>
      <w:r>
        <w:rPr>
          <w:rFonts w:hint="eastAsia" w:ascii="宋体" w:hAnsi="宋体"/>
          <w:bCs/>
          <w:color w:val="000000" w:themeColor="text1"/>
          <w:szCs w:val="21"/>
          <w14:textFill>
            <w14:solidFill>
              <w14:schemeClr w14:val="tx1"/>
            </w14:solidFill>
          </w14:textFill>
        </w:rPr>
        <w:t xml:space="preserve"> </w:t>
      </w:r>
    </w:p>
    <w:p>
      <w:pPr>
        <w:tabs>
          <w:tab w:val="left" w:pos="851"/>
        </w:tabs>
        <w:spacing w:line="400" w:lineRule="exact"/>
        <w:ind w:firstLine="420" w:firstLineChars="200"/>
        <w:rPr>
          <w:rFonts w:ascii="宋体" w:hAnsi="宋体" w:eastAsia="宋体" w:cs="宋体"/>
          <w:lang w:val="zh-TW" w:eastAsia="zh-TW"/>
        </w:rPr>
      </w:pPr>
      <w:r>
        <w:rPr>
          <w:rFonts w:hint="eastAsia" w:ascii="宋体" w:hAnsi="宋体" w:cs="宋体"/>
          <w:lang w:val="en-US" w:eastAsia="zh-CN"/>
        </w:rPr>
        <w:t>4、</w:t>
      </w:r>
      <w:r>
        <w:rPr>
          <w:rFonts w:ascii="宋体" w:hAnsi="宋体" w:eastAsia="宋体" w:cs="宋体"/>
          <w:lang w:val="zh-TW" w:eastAsia="zh-TW"/>
        </w:rPr>
        <w:t>货物应当符合以下规定的质量标准：</w:t>
      </w:r>
    </w:p>
    <w:p>
      <w:pPr>
        <w:tabs>
          <w:tab w:val="left" w:pos="851"/>
        </w:tabs>
        <w:spacing w:line="400" w:lineRule="exact"/>
        <w:ind w:firstLine="420" w:firstLineChars="200"/>
        <w:rPr>
          <w:rFonts w:ascii="宋体" w:hAnsi="宋体" w:eastAsia="宋体" w:cs="宋体"/>
        </w:rPr>
      </w:pPr>
      <w:r>
        <w:rPr>
          <w:rFonts w:ascii="宋体" w:hAnsi="宋体" w:eastAsia="宋体" w:cs="宋体"/>
          <w:lang w:val="zh-TW" w:eastAsia="zh-TW"/>
        </w:rPr>
        <w:t>货物应同时符合本合同签订时及货物交货时适用的中华人民共和国国家标准和行业标准，并且采用符合该等标准的材料和工艺制造</w:t>
      </w:r>
      <w:r>
        <w:rPr>
          <w:rFonts w:ascii="宋体" w:hAnsi="宋体" w:eastAsia="宋体" w:cs="宋体"/>
          <w:sz w:val="22"/>
          <w:szCs w:val="22"/>
          <w:lang w:val="zh-TW" w:eastAsia="zh-TW"/>
        </w:rPr>
        <w:t>，并不违反中国有关该类</w:t>
      </w:r>
      <w:r>
        <w:rPr>
          <w:rFonts w:ascii="宋体" w:hAnsi="宋体" w:eastAsia="宋体" w:cs="宋体"/>
          <w:sz w:val="22"/>
          <w:szCs w:val="22"/>
          <w:lang w:val="zh-CN"/>
        </w:rPr>
        <w:t>货物的</w:t>
      </w:r>
      <w:r>
        <w:rPr>
          <w:rFonts w:ascii="宋体" w:hAnsi="宋体" w:eastAsia="宋体" w:cs="宋体"/>
          <w:sz w:val="22"/>
          <w:szCs w:val="22"/>
          <w:lang w:val="zh-TW" w:eastAsia="zh-TW"/>
        </w:rPr>
        <w:t>强制标准</w:t>
      </w:r>
      <w:r>
        <w:rPr>
          <w:rFonts w:ascii="宋体" w:hAnsi="宋体" w:eastAsia="宋体" w:cs="宋体"/>
          <w:lang w:val="zh-TW" w:eastAsia="zh-TW"/>
        </w:rPr>
        <w:t>；</w:t>
      </w:r>
    </w:p>
    <w:p>
      <w:pPr>
        <w:tabs>
          <w:tab w:val="left" w:pos="851"/>
        </w:tabs>
        <w:spacing w:line="400" w:lineRule="exact"/>
        <w:rPr>
          <w:rFonts w:ascii="宋体" w:hAnsi="宋体" w:eastAsia="宋体" w:cs="宋体"/>
        </w:rPr>
      </w:pPr>
      <w:r>
        <w:rPr>
          <w:rFonts w:hint="eastAsia" w:ascii="宋体" w:hAnsi="宋体" w:cs="宋体"/>
          <w:lang w:val="en-US" w:eastAsia="zh-CN"/>
        </w:rPr>
        <w:t xml:space="preserve">    </w:t>
      </w:r>
      <w:r>
        <w:rPr>
          <w:rFonts w:ascii="宋体" w:hAnsi="宋体" w:eastAsia="宋体" w:cs="宋体"/>
          <w:lang w:val="zh-TW" w:eastAsia="zh-TW"/>
        </w:rPr>
        <w:t>货物应同时符合本合同签订时及货物交货时适用的中华人民共和国各项法律规定，尤其是有关安全和环保方面的规定；</w:t>
      </w:r>
    </w:p>
    <w:p>
      <w:pPr>
        <w:tabs>
          <w:tab w:val="left" w:pos="851"/>
        </w:tabs>
        <w:spacing w:line="400" w:lineRule="exact"/>
        <w:rPr>
          <w:rFonts w:ascii="宋体" w:hAnsi="宋体" w:eastAsia="宋体" w:cs="宋体"/>
        </w:rPr>
      </w:pPr>
      <w:r>
        <w:rPr>
          <w:rFonts w:hint="eastAsia" w:ascii="宋体" w:hAnsi="宋体" w:cs="宋体"/>
          <w:lang w:val="en-US" w:eastAsia="zh-CN"/>
        </w:rPr>
        <w:t xml:space="preserve">    </w:t>
      </w:r>
      <w:r>
        <w:rPr>
          <w:rFonts w:ascii="宋体" w:hAnsi="宋体" w:eastAsia="宋体" w:cs="宋体"/>
          <w:lang w:val="zh-TW" w:eastAsia="zh-TW"/>
        </w:rPr>
        <w:t>货物应同时符合本合同签订时及货物交货时最终目的地所在国执行的质量标准和各项法律规定，尤其是有关安全和环保方面的规定；</w:t>
      </w:r>
    </w:p>
    <w:p>
      <w:pPr>
        <w:tabs>
          <w:tab w:val="left" w:pos="851"/>
        </w:tabs>
        <w:spacing w:line="400" w:lineRule="exact"/>
        <w:rPr>
          <w:rFonts w:ascii="宋体" w:hAnsi="宋体" w:eastAsia="宋体" w:cs="宋体"/>
        </w:rPr>
      </w:pPr>
      <w:r>
        <w:rPr>
          <w:rFonts w:hint="eastAsia" w:ascii="宋体" w:hAnsi="宋体" w:cs="宋体"/>
          <w:lang w:val="en-US" w:eastAsia="zh-CN"/>
        </w:rPr>
        <w:t xml:space="preserve">    </w:t>
      </w:r>
      <w:r>
        <w:rPr>
          <w:rFonts w:ascii="宋体" w:hAnsi="宋体" w:eastAsia="宋体" w:cs="宋体"/>
          <w:lang w:val="zh-TW" w:eastAsia="zh-TW"/>
        </w:rPr>
        <w:t>货物及其使用不会对人身健康或安全构成危害；</w:t>
      </w:r>
    </w:p>
    <w:p>
      <w:pPr>
        <w:tabs>
          <w:tab w:val="left" w:pos="851"/>
        </w:tabs>
        <w:spacing w:line="400" w:lineRule="exact"/>
        <w:rPr>
          <w:rFonts w:ascii="宋体" w:hAnsi="宋体" w:eastAsia="宋体" w:cs="宋体"/>
        </w:rPr>
      </w:pPr>
      <w:r>
        <w:rPr>
          <w:rFonts w:hint="eastAsia" w:ascii="宋体" w:hAnsi="宋体" w:cs="宋体"/>
          <w:lang w:val="en-US" w:eastAsia="zh-CN"/>
        </w:rPr>
        <w:t xml:space="preserve">    </w:t>
      </w:r>
      <w:r>
        <w:rPr>
          <w:rFonts w:ascii="宋体" w:hAnsi="宋体" w:eastAsia="宋体" w:cs="宋体"/>
          <w:lang w:val="zh-TW" w:eastAsia="zh-TW"/>
        </w:rPr>
        <w:t>货物为全新且未曾使用过，</w:t>
      </w:r>
      <w:r>
        <w:rPr>
          <w:rFonts w:hint="eastAsia" w:ascii="宋体" w:hAnsi="宋体" w:cs="宋体"/>
          <w:lang w:val="zh-TW" w:eastAsia="zh-CN"/>
        </w:rPr>
        <w:t>中标人</w:t>
      </w:r>
      <w:r>
        <w:rPr>
          <w:rFonts w:ascii="宋体" w:hAnsi="宋体" w:eastAsia="宋体" w:cs="宋体"/>
          <w:lang w:val="zh-TW" w:eastAsia="zh-TW"/>
        </w:rPr>
        <w:t>应保证第三人不对该批货物主张任何权利。</w:t>
      </w:r>
    </w:p>
    <w:p>
      <w:pPr>
        <w:pStyle w:val="2"/>
        <w:numPr>
          <w:ilvl w:val="0"/>
          <w:numId w:val="0"/>
        </w:numPr>
        <w:rPr>
          <w:rFonts w:hint="eastAsia"/>
        </w:rPr>
      </w:pPr>
      <w:r>
        <w:rPr>
          <w:rFonts w:hint="eastAsia" w:cs="宋体"/>
          <w:lang w:val="en-US" w:eastAsia="zh-CN"/>
        </w:rPr>
        <w:t xml:space="preserve">   </w:t>
      </w:r>
      <w:r>
        <w:rPr>
          <w:rFonts w:ascii="宋体" w:hAnsi="宋体" w:eastAsia="宋体" w:cs="宋体"/>
          <w:lang w:val="zh-TW" w:eastAsia="zh-TW"/>
        </w:rPr>
        <w:t>货物中如含有进口配件，</w:t>
      </w:r>
      <w:r>
        <w:rPr>
          <w:rFonts w:hint="eastAsia" w:cs="宋体"/>
          <w:lang w:val="zh-TW" w:eastAsia="zh-CN"/>
        </w:rPr>
        <w:t>中标人</w:t>
      </w:r>
      <w:r>
        <w:rPr>
          <w:rFonts w:ascii="宋体" w:hAnsi="宋体" w:eastAsia="宋体" w:cs="宋体"/>
          <w:lang w:val="zh-TW" w:eastAsia="zh-TW"/>
        </w:rPr>
        <w:t>须提前声明。双方商议，确保货物能顺利通关。因</w:t>
      </w:r>
      <w:r>
        <w:rPr>
          <w:rFonts w:hint="eastAsia" w:cs="宋体"/>
          <w:lang w:val="zh-TW" w:eastAsia="zh-CN"/>
        </w:rPr>
        <w:t>中标人</w:t>
      </w:r>
      <w:r>
        <w:rPr>
          <w:rFonts w:ascii="宋体" w:hAnsi="宋体" w:eastAsia="宋体" w:cs="宋体"/>
          <w:lang w:val="zh-TW" w:eastAsia="zh-TW"/>
        </w:rPr>
        <w:t>原因，造成货物清关被扣，由此给</w:t>
      </w:r>
      <w:r>
        <w:rPr>
          <w:rFonts w:hint="eastAsia" w:cs="宋体"/>
          <w:lang w:val="zh-TW" w:eastAsia="zh-CN"/>
        </w:rPr>
        <w:t>招标人</w:t>
      </w:r>
      <w:r>
        <w:rPr>
          <w:rFonts w:ascii="宋体" w:hAnsi="宋体" w:eastAsia="宋体" w:cs="宋体"/>
          <w:lang w:val="zh-TW" w:eastAsia="zh-TW"/>
        </w:rPr>
        <w:t>造成损失</w:t>
      </w:r>
      <w:r>
        <w:rPr>
          <w:rFonts w:ascii="宋体" w:hAnsi="宋体" w:eastAsia="宋体" w:cs="宋体"/>
          <w:lang w:val="zh-CN"/>
        </w:rPr>
        <w:t>，</w:t>
      </w:r>
      <w:r>
        <w:rPr>
          <w:rFonts w:ascii="宋体" w:hAnsi="宋体" w:eastAsia="宋体" w:cs="宋体"/>
          <w:lang w:val="zh-TW" w:eastAsia="zh-TW"/>
        </w:rPr>
        <w:t>由</w:t>
      </w:r>
      <w:r>
        <w:rPr>
          <w:rFonts w:hint="eastAsia" w:cs="宋体"/>
          <w:lang w:val="zh-TW" w:eastAsia="zh-CN"/>
        </w:rPr>
        <w:t>中标人</w:t>
      </w:r>
      <w:r>
        <w:rPr>
          <w:rFonts w:ascii="宋体" w:hAnsi="宋体" w:eastAsia="宋体" w:cs="宋体"/>
          <w:lang w:val="zh-TW" w:eastAsia="zh-TW"/>
        </w:rPr>
        <w:t>应承担赔偿责任。</w:t>
      </w:r>
    </w:p>
    <w:p>
      <w:pPr>
        <w:pStyle w:val="102"/>
        <w:framePr w:wrap="auto" w:vAnchor="margin" w:hAnchor="text" w:yAlign="inline"/>
        <w:widowControl w:val="0"/>
        <w:spacing w:line="400" w:lineRule="exact"/>
        <w:ind w:firstLine="440" w:firstLineChars="200"/>
        <w:jc w:val="both"/>
        <w:rPr>
          <w:rFonts w:hint="default" w:ascii="宋体" w:hAnsi="宋体" w:eastAsia="宋体" w:cs="宋体"/>
          <w:kern w:val="2"/>
          <w:sz w:val="21"/>
          <w:szCs w:val="21"/>
        </w:rPr>
      </w:pPr>
      <w:r>
        <w:rPr>
          <w:rFonts w:hint="eastAsia" w:ascii="宋体" w:hAnsi="宋体" w:eastAsia="宋体"/>
          <w:bCs/>
          <w:color w:val="000000" w:themeColor="text1"/>
          <w:szCs w:val="21"/>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支付条款：</w:t>
      </w:r>
      <w:r>
        <w:rPr>
          <w:rFonts w:ascii="宋体" w:hAnsi="宋体" w:eastAsia="宋体" w:cs="宋体"/>
          <w:kern w:val="2"/>
          <w:sz w:val="21"/>
          <w:szCs w:val="21"/>
        </w:rPr>
        <w:t>材料运输至</w:t>
      </w:r>
      <w:r>
        <w:rPr>
          <w:rFonts w:hint="eastAsia" w:ascii="宋体" w:hAnsi="宋体" w:eastAsia="宋体" w:cs="宋体"/>
          <w:kern w:val="2"/>
          <w:sz w:val="21"/>
          <w:szCs w:val="21"/>
          <w:lang w:eastAsia="zh-CN"/>
        </w:rPr>
        <w:t>招标人</w:t>
      </w:r>
      <w:r>
        <w:rPr>
          <w:rFonts w:ascii="宋体" w:hAnsi="宋体" w:eastAsia="宋体" w:cs="宋体"/>
          <w:kern w:val="2"/>
          <w:sz w:val="21"/>
          <w:szCs w:val="21"/>
        </w:rPr>
        <w:t>指定地点后，</w:t>
      </w:r>
      <w:r>
        <w:rPr>
          <w:rFonts w:hint="eastAsia" w:ascii="宋体" w:hAnsi="宋体" w:eastAsia="宋体" w:cs="宋体"/>
          <w:kern w:val="2"/>
          <w:sz w:val="21"/>
          <w:szCs w:val="21"/>
          <w:lang w:eastAsia="zh-CN"/>
        </w:rPr>
        <w:t>招标人</w:t>
      </w:r>
      <w:r>
        <w:rPr>
          <w:rFonts w:ascii="宋体" w:hAnsi="宋体" w:eastAsia="宋体" w:cs="宋体"/>
          <w:kern w:val="2"/>
          <w:sz w:val="21"/>
          <w:szCs w:val="21"/>
        </w:rPr>
        <w:t>签写材料签收单给</w:t>
      </w:r>
      <w:r>
        <w:rPr>
          <w:rFonts w:hint="eastAsia" w:ascii="宋体" w:hAnsi="宋体" w:eastAsia="宋体" w:cs="宋体"/>
          <w:kern w:val="2"/>
          <w:sz w:val="21"/>
          <w:szCs w:val="21"/>
          <w:lang w:eastAsia="zh-CN"/>
        </w:rPr>
        <w:t>中标人</w:t>
      </w:r>
      <w:r>
        <w:rPr>
          <w:rFonts w:ascii="宋体" w:hAnsi="宋体" w:eastAsia="宋体" w:cs="宋体"/>
          <w:kern w:val="2"/>
          <w:sz w:val="21"/>
          <w:szCs w:val="21"/>
        </w:rPr>
        <w:t>，</w:t>
      </w:r>
      <w:r>
        <w:rPr>
          <w:rFonts w:hint="eastAsia" w:ascii="宋体" w:hAnsi="宋体" w:eastAsia="宋体" w:cs="宋体"/>
          <w:kern w:val="2"/>
          <w:sz w:val="21"/>
          <w:szCs w:val="21"/>
          <w:lang w:eastAsia="zh-CN"/>
        </w:rPr>
        <w:t>中标人</w:t>
      </w:r>
      <w:r>
        <w:rPr>
          <w:rFonts w:ascii="宋体" w:hAnsi="宋体" w:eastAsia="宋体" w:cs="宋体"/>
          <w:kern w:val="2"/>
          <w:sz w:val="21"/>
          <w:szCs w:val="21"/>
        </w:rPr>
        <w:t>以签收的材料签收单数量向</w:t>
      </w:r>
      <w:r>
        <w:rPr>
          <w:rFonts w:hint="eastAsia" w:ascii="宋体" w:hAnsi="宋体" w:eastAsia="宋体" w:cs="宋体"/>
          <w:kern w:val="2"/>
          <w:sz w:val="21"/>
          <w:szCs w:val="21"/>
          <w:lang w:eastAsia="zh-CN"/>
        </w:rPr>
        <w:t>招标人</w:t>
      </w:r>
      <w:r>
        <w:rPr>
          <w:rFonts w:ascii="宋体" w:hAnsi="宋体" w:eastAsia="宋体" w:cs="宋体"/>
          <w:kern w:val="2"/>
          <w:sz w:val="21"/>
          <w:szCs w:val="21"/>
        </w:rPr>
        <w:t>结算货款。</w:t>
      </w:r>
    </w:p>
    <w:p>
      <w:pPr>
        <w:pStyle w:val="102"/>
        <w:framePr w:wrap="auto" w:vAnchor="margin" w:hAnchor="text" w:yAlign="inline"/>
        <w:widowControl w:val="0"/>
        <w:spacing w:line="400" w:lineRule="exact"/>
        <w:ind w:firstLine="440" w:firstLineChars="200"/>
        <w:jc w:val="both"/>
        <w:rPr>
          <w:rFonts w:hint="eastAsia" w:ascii="宋体" w:hAnsi="宋体" w:eastAsia="宋体" w:cs="宋体"/>
          <w:kern w:val="2"/>
          <w:sz w:val="21"/>
          <w:szCs w:val="21"/>
          <w:lang w:eastAsia="zh-CN"/>
        </w:rPr>
      </w:pPr>
      <w:r>
        <w:rPr>
          <w:rFonts w:hint="eastAsia" w:ascii="宋体" w:hAnsi="宋体"/>
          <w:szCs w:val="22"/>
          <w:highlight w:val="none"/>
        </w:rPr>
        <w:t>双方同意 A （A、支付；B、不支付）预付款。</w:t>
      </w:r>
      <w:r>
        <w:rPr>
          <w:rFonts w:hint="eastAsia" w:ascii="宋体" w:hAnsi="宋体" w:eastAsia="宋体" w:cs="宋体"/>
          <w:kern w:val="2"/>
          <w:sz w:val="21"/>
          <w:szCs w:val="21"/>
          <w:lang w:val="en-US" w:eastAsia="zh-CN"/>
        </w:rPr>
        <w:t>金额为：</w:t>
      </w:r>
      <w:r>
        <w:rPr>
          <w:rFonts w:hint="eastAsia" w:ascii="宋体" w:hAnsi="宋体" w:eastAsia="宋体" w:cs="宋体"/>
          <w:kern w:val="2"/>
          <w:sz w:val="21"/>
          <w:szCs w:val="21"/>
          <w:u w:val="single"/>
          <w:lang w:val="en-US" w:eastAsia="zh-CN"/>
        </w:rPr>
        <w:t>350万元整</w:t>
      </w:r>
      <w:r>
        <w:rPr>
          <w:rFonts w:hint="eastAsia" w:ascii="宋体" w:hAnsi="宋体" w:eastAsia="宋体" w:cs="宋体"/>
          <w:kern w:val="2"/>
          <w:sz w:val="21"/>
          <w:szCs w:val="21"/>
          <w:lang w:eastAsia="zh-CN"/>
        </w:rPr>
        <w:t>作为预付</w:t>
      </w:r>
      <w:r>
        <w:rPr>
          <w:rFonts w:hint="eastAsia" w:ascii="宋体" w:hAnsi="宋体" w:eastAsia="宋体" w:cs="宋体"/>
          <w:kern w:val="2"/>
          <w:sz w:val="21"/>
          <w:szCs w:val="21"/>
          <w:lang w:val="en-US" w:eastAsia="zh-CN"/>
        </w:rPr>
        <w:t>采购资金</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该笔预付款</w:t>
      </w:r>
      <w:r>
        <w:rPr>
          <w:rFonts w:hint="eastAsia" w:ascii="宋体" w:hAnsi="宋体" w:eastAsia="宋体" w:cs="宋体"/>
          <w:kern w:val="2"/>
          <w:sz w:val="21"/>
          <w:szCs w:val="21"/>
          <w:lang w:eastAsia="zh-CN"/>
        </w:rPr>
        <w:t>可采用电汇、银行承兑汇票、建行E信通、民生银行民信易链等银行供应等方式进行支付，除电汇及外汇外，其余支付方式中标人均需在收款前开具合规增值税专用发票及收据（税率</w:t>
      </w:r>
      <w:r>
        <w:rPr>
          <w:rFonts w:hint="eastAsia" w:ascii="宋体" w:hAnsi="宋体" w:eastAsia="宋体" w:cs="宋体"/>
          <w:kern w:val="2"/>
          <w:sz w:val="21"/>
          <w:szCs w:val="21"/>
          <w:lang w:val="en-US" w:eastAsia="zh-CN"/>
        </w:rPr>
        <w:t>13</w:t>
      </w:r>
      <w:r>
        <w:rPr>
          <w:rFonts w:hint="eastAsia" w:ascii="宋体" w:hAnsi="宋体" w:eastAsia="宋体" w:cs="宋体"/>
          <w:kern w:val="2"/>
          <w:sz w:val="21"/>
          <w:szCs w:val="21"/>
          <w:lang w:eastAsia="zh-CN"/>
        </w:rPr>
        <w:t>%）。</w:t>
      </w:r>
    </w:p>
    <w:p>
      <w:pPr>
        <w:pStyle w:val="102"/>
        <w:framePr w:wrap="auto" w:vAnchor="margin" w:hAnchor="text" w:yAlign="inline"/>
        <w:widowControl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预付款的扣回方式为：按照支付进度款次数结合项目实际情况，分肆次进行等比例扣回（每次25%）。若工程初期为冬季等非正常施工期，考虑总承包单位资金成本等因素可要求分包单位将预付款部分</w:t>
      </w:r>
      <w:r>
        <w:rPr>
          <w:rFonts w:hint="eastAsia" w:ascii="宋体" w:hAnsi="宋体" w:eastAsia="宋体" w:cs="宋体"/>
          <w:kern w:val="2"/>
          <w:sz w:val="21"/>
          <w:szCs w:val="21"/>
          <w:lang w:val="en-US" w:eastAsia="zh-CN"/>
        </w:rPr>
        <w:t>或全部</w:t>
      </w:r>
      <w:r>
        <w:rPr>
          <w:rFonts w:hint="eastAsia" w:ascii="宋体" w:hAnsi="宋体" w:eastAsia="宋体" w:cs="宋体"/>
          <w:kern w:val="2"/>
          <w:sz w:val="21"/>
          <w:szCs w:val="21"/>
          <w:lang w:eastAsia="zh-CN"/>
        </w:rPr>
        <w:t>退回，待回归正常施工期再进行正常预付。</w:t>
      </w:r>
    </w:p>
    <w:p>
      <w:pPr>
        <w:pStyle w:val="102"/>
        <w:framePr w:wrap="auto" w:vAnchor="margin" w:hAnchor="text" w:yAlign="inline"/>
        <w:widowControl w:val="0"/>
        <w:spacing w:line="400" w:lineRule="exact"/>
        <w:jc w:val="both"/>
        <w:rPr>
          <w:rFonts w:hint="default" w:ascii="宋体" w:hAnsi="宋体" w:eastAsia="宋体" w:cs="宋体"/>
          <w:kern w:val="2"/>
          <w:sz w:val="21"/>
          <w:szCs w:val="21"/>
          <w:lang w:eastAsia="zh-CN"/>
        </w:rPr>
      </w:pP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中标人</w:t>
      </w:r>
      <w:r>
        <w:rPr>
          <w:rFonts w:ascii="宋体" w:hAnsi="宋体" w:eastAsia="宋体" w:cs="宋体"/>
          <w:kern w:val="2"/>
          <w:sz w:val="21"/>
          <w:szCs w:val="21"/>
          <w:lang w:eastAsia="zh-CN"/>
        </w:rPr>
        <w:t>开具收据并持续送货,每次供货需双方签字确认计量,每月30日结算当月计量,</w:t>
      </w:r>
      <w:r>
        <w:rPr>
          <w:rFonts w:hint="eastAsia" w:ascii="宋体" w:hAnsi="宋体" w:eastAsia="宋体" w:cs="宋体"/>
          <w:kern w:val="2"/>
          <w:sz w:val="21"/>
          <w:szCs w:val="21"/>
          <w:lang w:eastAsia="zh-CN"/>
        </w:rPr>
        <w:t>中标人</w:t>
      </w:r>
      <w:r>
        <w:rPr>
          <w:rFonts w:ascii="宋体" w:hAnsi="宋体" w:eastAsia="宋体" w:cs="宋体"/>
          <w:kern w:val="2"/>
          <w:sz w:val="21"/>
          <w:szCs w:val="21"/>
          <w:lang w:eastAsia="zh-CN"/>
        </w:rPr>
        <w:t>开具增值税专用发票,</w:t>
      </w:r>
      <w:r>
        <w:rPr>
          <w:rFonts w:hint="eastAsia" w:ascii="宋体" w:hAnsi="宋体" w:eastAsia="宋体" w:cs="宋体"/>
          <w:kern w:val="2"/>
          <w:sz w:val="21"/>
          <w:szCs w:val="21"/>
          <w:lang w:eastAsia="zh-CN"/>
        </w:rPr>
        <w:t>招标人</w:t>
      </w:r>
      <w:r>
        <w:rPr>
          <w:rFonts w:ascii="宋体" w:hAnsi="宋体" w:eastAsia="宋体" w:cs="宋体"/>
          <w:kern w:val="2"/>
          <w:sz w:val="21"/>
          <w:szCs w:val="21"/>
          <w:lang w:eastAsia="zh-CN"/>
        </w:rPr>
        <w:t>根据开票金额打款,</w:t>
      </w:r>
      <w:r>
        <w:rPr>
          <w:rFonts w:hint="eastAsia" w:ascii="宋体" w:hAnsi="宋体" w:eastAsia="宋体" w:cs="宋体"/>
          <w:kern w:val="2"/>
          <w:sz w:val="21"/>
          <w:szCs w:val="21"/>
          <w:lang w:eastAsia="zh-CN"/>
        </w:rPr>
        <w:t>中标人</w:t>
      </w:r>
      <w:r>
        <w:rPr>
          <w:rFonts w:ascii="宋体" w:hAnsi="宋体" w:eastAsia="宋体" w:cs="宋体"/>
          <w:kern w:val="2"/>
          <w:sz w:val="21"/>
          <w:szCs w:val="21"/>
        </w:rPr>
        <w:t>给予</w:t>
      </w:r>
      <w:r>
        <w:rPr>
          <w:rFonts w:hint="eastAsia" w:ascii="宋体" w:hAnsi="宋体" w:eastAsia="宋体" w:cs="宋体"/>
          <w:kern w:val="2"/>
          <w:sz w:val="21"/>
          <w:szCs w:val="21"/>
          <w:lang w:eastAsia="zh-CN"/>
        </w:rPr>
        <w:t>招标人</w:t>
      </w:r>
      <w:r>
        <w:rPr>
          <w:rFonts w:ascii="宋体" w:hAnsi="宋体" w:eastAsia="宋体" w:cs="宋体"/>
          <w:kern w:val="2"/>
          <w:sz w:val="21"/>
          <w:szCs w:val="21"/>
        </w:rPr>
        <w:t>垫资发货</w:t>
      </w:r>
      <w:r>
        <w:rPr>
          <w:rFonts w:ascii="宋体" w:hAnsi="宋体" w:eastAsia="宋体" w:cs="宋体"/>
          <w:kern w:val="2"/>
          <w:sz w:val="21"/>
          <w:szCs w:val="21"/>
          <w:lang w:eastAsia="zh-CN"/>
        </w:rPr>
        <w:t>，</w:t>
      </w:r>
      <w:r>
        <w:rPr>
          <w:rFonts w:ascii="宋体" w:hAnsi="宋体" w:eastAsia="宋体" w:cs="宋体"/>
          <w:kern w:val="2"/>
          <w:sz w:val="21"/>
          <w:szCs w:val="21"/>
        </w:rPr>
        <w:t>结算日为垫资期</w:t>
      </w:r>
      <w:r>
        <w:rPr>
          <w:rFonts w:ascii="宋体" w:hAnsi="宋体" w:eastAsia="宋体" w:cs="宋体"/>
          <w:color w:val="auto"/>
          <w:kern w:val="2"/>
          <w:sz w:val="21"/>
          <w:szCs w:val="21"/>
        </w:rPr>
        <w:t>限满</w:t>
      </w:r>
      <w:r>
        <w:rPr>
          <w:rFonts w:ascii="宋体" w:hAnsi="宋体" w:eastAsia="宋体" w:cs="宋体"/>
          <w:color w:val="auto"/>
          <w:kern w:val="2"/>
          <w:sz w:val="21"/>
          <w:szCs w:val="21"/>
          <w:lang w:val="en-US" w:eastAsia="zh-CN"/>
        </w:rPr>
        <w:t>30</w:t>
      </w:r>
      <w:r>
        <w:rPr>
          <w:rFonts w:ascii="宋体" w:hAnsi="宋体" w:eastAsia="宋体" w:cs="宋体"/>
          <w:color w:val="auto"/>
          <w:kern w:val="2"/>
          <w:sz w:val="21"/>
          <w:szCs w:val="21"/>
          <w:lang w:eastAsia="zh-CN"/>
        </w:rPr>
        <w:t>天或者50万元</w:t>
      </w:r>
      <w:r>
        <w:rPr>
          <w:rFonts w:ascii="宋体" w:hAnsi="宋体" w:eastAsia="宋体" w:cs="宋体"/>
          <w:color w:val="auto"/>
          <w:kern w:val="2"/>
          <w:sz w:val="21"/>
          <w:szCs w:val="21"/>
        </w:rPr>
        <w:t>。</w:t>
      </w:r>
    </w:p>
    <w:p>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s="宋体"/>
          <w:kern w:val="2"/>
          <w:sz w:val="21"/>
          <w:szCs w:val="21"/>
          <w:lang w:eastAsia="zh-CN"/>
        </w:rPr>
        <w:t>招标人</w:t>
      </w:r>
      <w:r>
        <w:rPr>
          <w:rFonts w:hint="default" w:ascii="宋体" w:hAnsi="宋体" w:eastAsia="宋体" w:cs="宋体"/>
          <w:kern w:val="2"/>
          <w:sz w:val="21"/>
          <w:szCs w:val="21"/>
        </w:rPr>
        <w:t>可采用电汇、外汇（包括但不仅限于美元）、银行承兑汇票或建行E信通、民生银行民信易链等银行供应链对</w:t>
      </w:r>
      <w:r>
        <w:rPr>
          <w:rFonts w:hint="eastAsia" w:ascii="宋体" w:hAnsi="宋体" w:cs="宋体"/>
          <w:kern w:val="2"/>
          <w:sz w:val="21"/>
          <w:szCs w:val="21"/>
          <w:lang w:eastAsia="zh-CN"/>
        </w:rPr>
        <w:t>中标人</w:t>
      </w:r>
      <w:r>
        <w:rPr>
          <w:rFonts w:hint="default" w:ascii="宋体" w:hAnsi="宋体" w:eastAsia="宋体" w:cs="宋体"/>
          <w:kern w:val="2"/>
          <w:sz w:val="21"/>
          <w:szCs w:val="21"/>
        </w:rPr>
        <w:t>进行支付，即</w:t>
      </w:r>
      <w:r>
        <w:rPr>
          <w:rFonts w:hint="eastAsia" w:ascii="宋体" w:hAnsi="宋体" w:cs="宋体"/>
          <w:kern w:val="2"/>
          <w:sz w:val="21"/>
          <w:szCs w:val="21"/>
          <w:lang w:eastAsia="zh-CN"/>
        </w:rPr>
        <w:t>中标人</w:t>
      </w:r>
      <w:r>
        <w:rPr>
          <w:rFonts w:hint="default" w:ascii="宋体" w:hAnsi="宋体" w:eastAsia="宋体" w:cs="宋体"/>
          <w:kern w:val="2"/>
          <w:sz w:val="21"/>
          <w:szCs w:val="21"/>
        </w:rPr>
        <w:t>提交相关付款材料经</w:t>
      </w:r>
      <w:r>
        <w:rPr>
          <w:rFonts w:hint="eastAsia" w:ascii="宋体" w:hAnsi="宋体" w:cs="宋体"/>
          <w:kern w:val="2"/>
          <w:sz w:val="21"/>
          <w:szCs w:val="21"/>
          <w:lang w:eastAsia="zh-CN"/>
        </w:rPr>
        <w:t>招标人</w:t>
      </w:r>
      <w:r>
        <w:rPr>
          <w:rFonts w:hint="default" w:ascii="宋体" w:hAnsi="宋体" w:eastAsia="宋体" w:cs="宋体"/>
          <w:kern w:val="2"/>
          <w:sz w:val="21"/>
          <w:szCs w:val="21"/>
        </w:rPr>
        <w:t>审核无误后，</w:t>
      </w:r>
      <w:r>
        <w:rPr>
          <w:rFonts w:hint="eastAsia"/>
          <w:kern w:val="2"/>
          <w:sz w:val="21"/>
          <w:szCs w:val="21"/>
        </w:rPr>
        <w:t>供应链签发期为12</w:t>
      </w:r>
      <w:r>
        <w:rPr>
          <w:rFonts w:hint="eastAsia"/>
          <w:kern w:val="2"/>
          <w:sz w:val="21"/>
          <w:szCs w:val="21"/>
          <w:lang w:val="en-US" w:eastAsia="zh-CN"/>
        </w:rPr>
        <w:t>-24</w:t>
      </w:r>
      <w:r>
        <w:rPr>
          <w:rFonts w:hint="eastAsia"/>
          <w:kern w:val="2"/>
          <w:sz w:val="21"/>
          <w:szCs w:val="21"/>
        </w:rPr>
        <w:t>个月，</w:t>
      </w:r>
      <w:r>
        <w:rPr>
          <w:rFonts w:hint="eastAsia"/>
          <w:kern w:val="2"/>
          <w:sz w:val="21"/>
          <w:szCs w:val="21"/>
          <w:lang w:eastAsia="zh-CN"/>
        </w:rPr>
        <w:t>中标人</w:t>
      </w:r>
      <w:r>
        <w:rPr>
          <w:rFonts w:hint="eastAsia"/>
          <w:kern w:val="2"/>
          <w:sz w:val="21"/>
          <w:szCs w:val="21"/>
          <w:lang w:val="en-US" w:eastAsia="zh-CN"/>
        </w:rPr>
        <w:t>至少</w:t>
      </w:r>
      <w:r>
        <w:rPr>
          <w:rFonts w:hint="eastAsia"/>
          <w:kern w:val="2"/>
          <w:sz w:val="21"/>
          <w:szCs w:val="21"/>
        </w:rPr>
        <w:t>承担</w:t>
      </w:r>
      <w:r>
        <w:rPr>
          <w:rFonts w:hint="eastAsia"/>
          <w:kern w:val="2"/>
          <w:sz w:val="21"/>
          <w:szCs w:val="21"/>
          <w:lang w:val="en-US" w:eastAsia="zh-CN"/>
        </w:rPr>
        <w:t>12个月</w:t>
      </w:r>
      <w:r>
        <w:rPr>
          <w:rFonts w:hint="eastAsia"/>
          <w:kern w:val="2"/>
          <w:sz w:val="21"/>
          <w:szCs w:val="21"/>
        </w:rPr>
        <w:t>提前变现贴现息</w:t>
      </w:r>
      <w:r>
        <w:rPr>
          <w:rFonts w:ascii="宋体" w:hAnsi="宋体" w:eastAsia="宋体" w:cs="宋体"/>
          <w:kern w:val="2"/>
          <w:sz w:val="21"/>
          <w:szCs w:val="21"/>
          <w:lang w:val="en-US" w:eastAsia="zh-CN"/>
        </w:rPr>
        <w:t>。</w:t>
      </w:r>
      <w:r>
        <w:rPr>
          <w:rFonts w:hint="eastAsia" w:ascii="宋体" w:hAnsi="宋体"/>
          <w:bCs/>
          <w:color w:val="000000" w:themeColor="text1"/>
          <w:szCs w:val="21"/>
          <w14:textFill>
            <w14:solidFill>
              <w14:schemeClr w14:val="tx1"/>
            </w14:solidFill>
          </w14:textFill>
        </w:rPr>
        <w:t>结算价格的确定：以货到工地签收日的前一日《</w:t>
      </w:r>
      <w:r>
        <w:rPr>
          <w:rFonts w:hint="eastAsia" w:ascii="宋体" w:hAnsi="宋体" w:cs="宋体"/>
          <w:color w:val="000000" w:themeColor="text1"/>
          <w:szCs w:val="21"/>
          <w:lang w:val="en-US" w:eastAsia="zh-CN"/>
          <w14:textFill>
            <w14:solidFill>
              <w14:schemeClr w14:val="tx1"/>
            </w14:solidFill>
          </w14:textFill>
        </w:rPr>
        <w:t>西本新干线</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西本钢铁网</w:t>
      </w:r>
      <w:r>
        <w:rPr>
          <w:rFonts w:hint="eastAsia" w:ascii="宋体" w:hAnsi="宋体"/>
          <w:bCs/>
          <w:color w:val="000000" w:themeColor="text1"/>
          <w:szCs w:val="21"/>
          <w14:textFill>
            <w14:solidFill>
              <w14:schemeClr w14:val="tx1"/>
            </w14:solidFill>
          </w14:textFill>
        </w:rPr>
        <w:t>》的</w:t>
      </w:r>
      <w:r>
        <w:rPr>
          <w:rFonts w:hint="eastAsia" w:ascii="宋体" w:hAnsi="宋体"/>
          <w:bCs/>
          <w:color w:val="000000" w:themeColor="text1"/>
          <w:szCs w:val="21"/>
          <w:lang w:val="en-US" w:eastAsia="zh-CN"/>
          <w14:textFill>
            <w14:solidFill>
              <w14:schemeClr w14:val="tx1"/>
            </w14:solidFill>
          </w14:textFill>
        </w:rPr>
        <w:t>济南市</w:t>
      </w:r>
      <w:r>
        <w:rPr>
          <w:rFonts w:hint="eastAsia" w:ascii="宋体" w:hAnsi="宋体"/>
          <w:bCs/>
          <w:color w:val="000000" w:themeColor="text1"/>
          <w:szCs w:val="21"/>
          <w14:textFill>
            <w14:solidFill>
              <w14:schemeClr w14:val="tx1"/>
            </w14:solidFill>
          </w14:textFill>
        </w:rPr>
        <w:t>建材交易指导价网价作为结算</w:t>
      </w:r>
      <w:r>
        <w:rPr>
          <w:rFonts w:hint="eastAsia" w:ascii="宋体" w:hAnsi="宋体"/>
          <w:bCs/>
          <w:color w:val="000000" w:themeColor="text1"/>
          <w:szCs w:val="21"/>
          <w:lang w:val="en-US" w:eastAsia="zh-CN"/>
          <w14:textFill>
            <w14:solidFill>
              <w14:schemeClr w14:val="tx1"/>
            </w14:solidFill>
          </w14:textFill>
        </w:rPr>
        <w:t>依据</w:t>
      </w:r>
      <w:r>
        <w:rPr>
          <w:rFonts w:hint="eastAsia" w:ascii="宋体" w:hAnsi="宋体"/>
          <w:bCs/>
          <w:color w:val="000000" w:themeColor="text1"/>
          <w:szCs w:val="21"/>
          <w14:textFill>
            <w14:solidFill>
              <w14:schemeClr w14:val="tx1"/>
            </w14:solidFill>
          </w14:textFill>
        </w:rPr>
        <w:t>（含上力费、开票税费、运费等）。</w:t>
      </w:r>
    </w:p>
    <w:p>
      <w:pPr>
        <w:spacing w:line="360" w:lineRule="auto"/>
        <w:ind w:firstLine="420" w:firstLineChars="200"/>
        <w:rPr>
          <w:rFonts w:hint="eastAsia" w:cs="Times New Roman"/>
          <w:bCs/>
          <w:color w:val="FF0000"/>
          <w:kern w:val="2"/>
          <w:sz w:val="21"/>
          <w:szCs w:val="21"/>
        </w:rPr>
      </w:pPr>
      <w:r>
        <w:rPr>
          <w:rFonts w:hint="eastAsia" w:cs="Times New Roman"/>
          <w:bCs/>
          <w:color w:val="000000" w:themeColor="text1"/>
          <w:kern w:val="2"/>
          <w:sz w:val="21"/>
          <w:szCs w:val="21"/>
          <w:lang w:val="en-US" w:eastAsia="zh-CN"/>
          <w14:textFill>
            <w14:solidFill>
              <w14:schemeClr w14:val="tx1"/>
            </w14:solidFill>
          </w14:textFill>
        </w:rPr>
        <w:t>6、</w:t>
      </w:r>
      <w:r>
        <w:rPr>
          <w:rFonts w:hint="eastAsia" w:cs="Times New Roman"/>
          <w:bCs/>
          <w:color w:val="000000" w:themeColor="text1"/>
          <w:kern w:val="2"/>
          <w:sz w:val="21"/>
          <w:szCs w:val="21"/>
          <w14:textFill>
            <w14:solidFill>
              <w14:schemeClr w14:val="tx1"/>
            </w14:solidFill>
          </w14:textFill>
        </w:rPr>
        <w:t>付款方式：采用月结方式（即每月1日到30日供货量为一个结算周期，甲、乙双方于次月5日前对账一次，供货次月20日前付清上月所供钢材款）。</w:t>
      </w:r>
      <w:r>
        <w:rPr>
          <w:rFonts w:hint="eastAsia" w:cs="Times New Roman"/>
          <w:bCs/>
          <w:color w:val="000000" w:themeColor="text1"/>
          <w:kern w:val="2"/>
          <w:sz w:val="21"/>
          <w:szCs w:val="21"/>
          <w:lang w:eastAsia="zh-CN"/>
          <w14:textFill>
            <w14:solidFill>
              <w14:schemeClr w14:val="tx1"/>
            </w14:solidFill>
          </w14:textFill>
        </w:rPr>
        <w:t>招标人</w:t>
      </w:r>
      <w:r>
        <w:rPr>
          <w:rFonts w:hint="eastAsia" w:cs="Times New Roman"/>
          <w:bCs/>
          <w:color w:val="000000" w:themeColor="text1"/>
          <w:kern w:val="2"/>
          <w:sz w:val="21"/>
          <w:szCs w:val="21"/>
          <w14:textFill>
            <w14:solidFill>
              <w14:schemeClr w14:val="tx1"/>
            </w14:solidFill>
          </w14:textFill>
        </w:rPr>
        <w:t>以采取网上银行转账、银行承兑汇票、商业承兑汇票、供应链、信用证、保理或其他合法有效的付款方式支付货款（</w:t>
      </w:r>
      <w:r>
        <w:rPr>
          <w:rFonts w:hint="eastAsia" w:cs="Times New Roman"/>
          <w:bCs/>
          <w:color w:val="000000" w:themeColor="text1"/>
          <w:kern w:val="2"/>
          <w:sz w:val="21"/>
          <w:szCs w:val="21"/>
          <w:highlight w:val="none"/>
          <w:lang w:eastAsia="zh-CN"/>
          <w14:textFill>
            <w14:solidFill>
              <w14:schemeClr w14:val="tx1"/>
            </w14:solidFill>
          </w14:textFill>
        </w:rPr>
        <w:t>中标人</w:t>
      </w:r>
      <w:r>
        <w:rPr>
          <w:rFonts w:hint="eastAsia"/>
          <w:kern w:val="2"/>
          <w:sz w:val="21"/>
          <w:szCs w:val="21"/>
          <w:lang w:val="en-US" w:eastAsia="zh-CN"/>
        </w:rPr>
        <w:t>至少</w:t>
      </w:r>
      <w:r>
        <w:rPr>
          <w:rFonts w:hint="eastAsia"/>
          <w:kern w:val="2"/>
          <w:sz w:val="21"/>
          <w:szCs w:val="21"/>
        </w:rPr>
        <w:t>承担</w:t>
      </w:r>
      <w:r>
        <w:rPr>
          <w:rFonts w:hint="eastAsia"/>
          <w:kern w:val="2"/>
          <w:sz w:val="21"/>
          <w:szCs w:val="21"/>
          <w:lang w:val="en-US" w:eastAsia="zh-CN"/>
        </w:rPr>
        <w:t>12个月</w:t>
      </w:r>
      <w:r>
        <w:rPr>
          <w:rFonts w:hint="eastAsia" w:cs="Times New Roman"/>
          <w:bCs/>
          <w:color w:val="000000" w:themeColor="text1"/>
          <w:kern w:val="2"/>
          <w:sz w:val="21"/>
          <w:szCs w:val="21"/>
          <w:highlight w:val="none"/>
          <w14:textFill>
            <w14:solidFill>
              <w14:schemeClr w14:val="tx1"/>
            </w14:solidFill>
          </w14:textFill>
        </w:rPr>
        <w:t>贴息费用和手续费</w:t>
      </w:r>
      <w:r>
        <w:rPr>
          <w:rFonts w:hint="eastAsia" w:cs="Times New Roman"/>
          <w:bCs/>
          <w:color w:val="000000" w:themeColor="text1"/>
          <w:kern w:val="2"/>
          <w:sz w:val="21"/>
          <w:szCs w:val="21"/>
          <w14:textFill>
            <w14:solidFill>
              <w14:schemeClr w14:val="tx1"/>
            </w14:solidFill>
          </w14:textFill>
        </w:rPr>
        <w:t>）。</w:t>
      </w: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pStyle w:val="36"/>
        <w:shd w:val="clear" w:color="auto" w:fill="FFFFFF"/>
        <w:spacing w:before="0" w:beforeAutospacing="0" w:after="0" w:afterAutospacing="0" w:line="380" w:lineRule="exact"/>
        <w:rPr>
          <w:rFonts w:hint="eastAsia" w:cs="Times New Roman"/>
          <w:bCs/>
          <w:color w:val="FF0000"/>
          <w:kern w:val="2"/>
          <w:sz w:val="21"/>
          <w:szCs w:val="21"/>
        </w:rPr>
      </w:pPr>
    </w:p>
    <w:p>
      <w:pPr>
        <w:adjustRightInd w:val="0"/>
        <w:snapToGrid w:val="0"/>
        <w:spacing w:line="440" w:lineRule="exact"/>
        <w:jc w:val="center"/>
        <w:outlineLvl w:val="0"/>
        <w:rPr>
          <w:rStyle w:val="48"/>
          <w:rFonts w:hint="eastAsia"/>
          <w:sz w:val="28"/>
          <w:szCs w:val="28"/>
        </w:rPr>
      </w:pPr>
      <w:bookmarkStart w:id="511" w:name="_Toc16175987"/>
      <w:bookmarkStart w:id="512" w:name="_Toc25677"/>
      <w:r>
        <w:rPr>
          <w:rStyle w:val="48"/>
          <w:rFonts w:hint="eastAsia"/>
          <w:sz w:val="28"/>
          <w:szCs w:val="28"/>
        </w:rPr>
        <w:t>第五章  合同条款</w:t>
      </w:r>
      <w:bookmarkEnd w:id="504"/>
      <w:bookmarkEnd w:id="505"/>
      <w:bookmarkEnd w:id="506"/>
      <w:bookmarkEnd w:id="507"/>
      <w:bookmarkEnd w:id="508"/>
      <w:bookmarkEnd w:id="511"/>
      <w:bookmarkEnd w:id="512"/>
    </w:p>
    <w:p/>
    <w:p>
      <w:pPr>
        <w:widowControl/>
        <w:spacing w:line="360" w:lineRule="auto"/>
        <w:ind w:firstLine="562" w:firstLineChars="200"/>
        <w:jc w:val="center"/>
        <w:outlineLvl w:val="1"/>
        <w:rPr>
          <w:rFonts w:hint="eastAsia"/>
          <w:b/>
          <w:sz w:val="28"/>
          <w:szCs w:val="28"/>
        </w:rPr>
      </w:pPr>
      <w:r>
        <w:rPr>
          <w:rFonts w:hint="eastAsia"/>
          <w:b/>
          <w:sz w:val="28"/>
          <w:szCs w:val="28"/>
        </w:rPr>
        <w:t xml:space="preserve">使用中国地质工程集团有限公司标准制式合同，合同内容中明确采购需求的技术、服务要求                                </w:t>
      </w: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 w:val="28"/>
          <w:szCs w:val="28"/>
        </w:rPr>
      </w:pPr>
    </w:p>
    <w:p>
      <w:pPr>
        <w:rPr>
          <w:rFonts w:ascii="宋体"/>
          <w:b/>
          <w:szCs w:val="21"/>
        </w:rPr>
      </w:pPr>
    </w:p>
    <w:p>
      <w:pPr>
        <w:spacing w:line="360" w:lineRule="exact"/>
        <w:jc w:val="center"/>
        <w:outlineLvl w:val="1"/>
        <w:rPr>
          <w:rFonts w:ascii="宋体"/>
          <w:b/>
          <w:sz w:val="28"/>
          <w:szCs w:val="28"/>
        </w:rPr>
      </w:pPr>
      <w:bookmarkStart w:id="513" w:name="_Toc11579"/>
      <w:r>
        <w:rPr>
          <w:rFonts w:hint="eastAsia" w:ascii="宋体" w:hAnsi="宋体"/>
          <w:b/>
          <w:sz w:val="28"/>
          <w:szCs w:val="28"/>
        </w:rPr>
        <w:t>廉</w:t>
      </w:r>
      <w:r>
        <w:rPr>
          <w:rFonts w:ascii="宋体" w:hAnsi="宋体"/>
          <w:b/>
          <w:sz w:val="28"/>
          <w:szCs w:val="28"/>
        </w:rPr>
        <w:t xml:space="preserve"> </w:t>
      </w:r>
      <w:r>
        <w:rPr>
          <w:rFonts w:hint="eastAsia" w:ascii="宋体" w:hAnsi="宋体"/>
          <w:b/>
          <w:sz w:val="28"/>
          <w:szCs w:val="28"/>
        </w:rPr>
        <w:t>政</w:t>
      </w:r>
      <w:r>
        <w:rPr>
          <w:rFonts w:ascii="宋体" w:hAnsi="宋体"/>
          <w:b/>
          <w:sz w:val="28"/>
          <w:szCs w:val="28"/>
        </w:rPr>
        <w:t xml:space="preserve"> </w:t>
      </w:r>
      <w:r>
        <w:rPr>
          <w:rFonts w:hint="eastAsia" w:ascii="宋体" w:hAnsi="宋体"/>
          <w:b/>
          <w:sz w:val="28"/>
          <w:szCs w:val="28"/>
        </w:rPr>
        <w:t>协 议</w:t>
      </w:r>
      <w:bookmarkEnd w:id="513"/>
    </w:p>
    <w:p>
      <w:pPr>
        <w:spacing w:line="360" w:lineRule="exact"/>
        <w:jc w:val="center"/>
        <w:rPr>
          <w:rFonts w:ascii="宋体"/>
          <w:b/>
          <w:sz w:val="28"/>
          <w:szCs w:val="28"/>
        </w:rPr>
      </w:pPr>
    </w:p>
    <w:p>
      <w:pPr>
        <w:autoSpaceDE w:val="0"/>
        <w:autoSpaceDN w:val="0"/>
        <w:adjustRightInd w:val="0"/>
        <w:snapToGrid w:val="0"/>
        <w:spacing w:line="360" w:lineRule="auto"/>
        <w:ind w:firstLine="420" w:firstLineChars="200"/>
        <w:rPr>
          <w:rFonts w:hint="eastAsia" w:ascii="宋体"/>
          <w:szCs w:val="21"/>
        </w:rPr>
      </w:pPr>
      <w:r>
        <w:rPr>
          <w:rFonts w:hint="eastAsia" w:ascii="宋体" w:hAnsi="宋体"/>
          <w:szCs w:val="21"/>
          <w:lang w:eastAsia="zh-CN"/>
        </w:rPr>
        <w:t>招标人</w:t>
      </w:r>
      <w:r>
        <w:rPr>
          <w:rFonts w:hint="eastAsia" w:ascii="宋体" w:hAnsi="宋体"/>
          <w:szCs w:val="21"/>
        </w:rPr>
        <w:t xml:space="preserve">：                                </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lang w:eastAsia="zh-CN"/>
        </w:rPr>
        <w:t>中标人</w:t>
      </w:r>
      <w:r>
        <w:rPr>
          <w:rFonts w:hint="eastAsia" w:ascii="宋体" w:hAnsi="宋体"/>
          <w:szCs w:val="21"/>
        </w:rPr>
        <w:t>：</w:t>
      </w:r>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为加强物资采购、工程投资项目活动中的廉政建设，防止发生违法、违纪行为，体现公开、公平、公正的原则，根据国家有关法律、法规和廉政建设责任制的规定，甲、乙双方商定下列条款作为双方签订的《                               》（以下简称《合同》</w:t>
      </w:r>
      <w:r>
        <w:rPr>
          <w:rFonts w:ascii="宋体" w:hAnsi="宋体"/>
          <w:szCs w:val="21"/>
        </w:rPr>
        <w:t>)</w:t>
      </w:r>
      <w:r>
        <w:rPr>
          <w:rFonts w:hint="eastAsia" w:ascii="宋体" w:hAnsi="宋体"/>
          <w:szCs w:val="21"/>
        </w:rPr>
        <w:t>的补充条款：</w:t>
      </w:r>
    </w:p>
    <w:p>
      <w:pPr>
        <w:autoSpaceDE w:val="0"/>
        <w:autoSpaceDN w:val="0"/>
        <w:adjustRightInd w:val="0"/>
        <w:snapToGrid w:val="0"/>
        <w:spacing w:line="360" w:lineRule="auto"/>
        <w:ind w:firstLine="420" w:firstLineChars="200"/>
        <w:rPr>
          <w:rFonts w:ascii="宋体"/>
          <w:szCs w:val="21"/>
        </w:rPr>
      </w:pPr>
      <w:r>
        <w:rPr>
          <w:rFonts w:ascii="宋体" w:hAnsi="宋体"/>
          <w:szCs w:val="21"/>
        </w:rPr>
        <w:t>1</w:t>
      </w:r>
      <w:r>
        <w:rPr>
          <w:rFonts w:hint="eastAsia" w:ascii="宋体" w:hAnsi="宋体"/>
          <w:szCs w:val="21"/>
        </w:rPr>
        <w:t>、</w:t>
      </w:r>
      <w:r>
        <w:rPr>
          <w:rFonts w:hint="eastAsia" w:ascii="宋体" w:hAnsi="宋体"/>
          <w:szCs w:val="21"/>
          <w:lang w:eastAsia="zh-CN"/>
        </w:rPr>
        <w:t>中标人</w:t>
      </w:r>
      <w:r>
        <w:rPr>
          <w:rFonts w:hint="eastAsia" w:ascii="宋体" w:hAnsi="宋体"/>
          <w:szCs w:val="21"/>
        </w:rPr>
        <w:t>不得向</w:t>
      </w:r>
      <w:r>
        <w:rPr>
          <w:rFonts w:hint="eastAsia" w:ascii="宋体" w:hAnsi="宋体"/>
          <w:szCs w:val="21"/>
          <w:lang w:eastAsia="zh-CN"/>
        </w:rPr>
        <w:t>招标人</w:t>
      </w:r>
      <w:r>
        <w:rPr>
          <w:rFonts w:hint="eastAsia" w:ascii="宋体" w:hAnsi="宋体"/>
          <w:szCs w:val="21"/>
        </w:rPr>
        <w:t>有关人员行贿，以不正当手段谋取合同签订资格。</w:t>
      </w:r>
    </w:p>
    <w:p>
      <w:pPr>
        <w:autoSpaceDE w:val="0"/>
        <w:autoSpaceDN w:val="0"/>
        <w:adjustRightInd w:val="0"/>
        <w:snapToGrid w:val="0"/>
        <w:spacing w:line="360" w:lineRule="auto"/>
        <w:ind w:firstLine="420" w:firstLineChars="200"/>
        <w:rPr>
          <w:rFonts w:ascii="宋体"/>
          <w:szCs w:val="21"/>
        </w:rPr>
      </w:pPr>
      <w:r>
        <w:rPr>
          <w:rFonts w:ascii="宋体" w:hAnsi="宋体"/>
          <w:szCs w:val="21"/>
        </w:rPr>
        <w:t>2</w:t>
      </w:r>
      <w:r>
        <w:rPr>
          <w:rFonts w:hint="eastAsia" w:ascii="宋体" w:hAnsi="宋体"/>
          <w:szCs w:val="21"/>
        </w:rPr>
        <w:t>、</w:t>
      </w:r>
      <w:r>
        <w:rPr>
          <w:rFonts w:hint="eastAsia" w:ascii="宋体" w:hAnsi="宋体"/>
          <w:szCs w:val="21"/>
          <w:lang w:eastAsia="zh-CN"/>
        </w:rPr>
        <w:t>中标人</w:t>
      </w:r>
      <w:r>
        <w:rPr>
          <w:rFonts w:hint="eastAsia" w:ascii="宋体" w:hAnsi="宋体"/>
          <w:szCs w:val="21"/>
        </w:rPr>
        <w:t>不得向</w:t>
      </w:r>
      <w:r>
        <w:rPr>
          <w:rFonts w:hint="eastAsia" w:ascii="宋体" w:hAnsi="宋体"/>
          <w:szCs w:val="21"/>
          <w:lang w:eastAsia="zh-CN"/>
        </w:rPr>
        <w:t>招标人</w:t>
      </w:r>
      <w:r>
        <w:rPr>
          <w:rFonts w:hint="eastAsia" w:ascii="宋体" w:hAnsi="宋体"/>
          <w:szCs w:val="21"/>
        </w:rPr>
        <w:t>相关人员赠送礼金、礼品、有价证券或其他代币券、贵重物品、好处费、感谢费等以及组织其它有可能影响客观公正的活动。</w:t>
      </w:r>
    </w:p>
    <w:p>
      <w:pPr>
        <w:autoSpaceDE w:val="0"/>
        <w:autoSpaceDN w:val="0"/>
        <w:adjustRightInd w:val="0"/>
        <w:snapToGrid w:val="0"/>
        <w:spacing w:line="360" w:lineRule="auto"/>
        <w:ind w:firstLine="420" w:firstLineChars="200"/>
        <w:rPr>
          <w:rFonts w:ascii="宋体"/>
          <w:szCs w:val="21"/>
        </w:rPr>
      </w:pPr>
      <w:r>
        <w:rPr>
          <w:rFonts w:ascii="宋体" w:hAnsi="宋体"/>
          <w:szCs w:val="21"/>
        </w:rPr>
        <w:t>3</w:t>
      </w:r>
      <w:r>
        <w:rPr>
          <w:rFonts w:hint="eastAsia" w:ascii="宋体" w:hAnsi="宋体"/>
          <w:szCs w:val="21"/>
        </w:rPr>
        <w:t>、</w:t>
      </w:r>
      <w:r>
        <w:rPr>
          <w:rFonts w:hint="eastAsia" w:ascii="宋体" w:hAnsi="宋体"/>
          <w:szCs w:val="21"/>
          <w:lang w:eastAsia="zh-CN"/>
        </w:rPr>
        <w:t>中标人</w:t>
      </w:r>
      <w:r>
        <w:rPr>
          <w:rFonts w:hint="eastAsia" w:ascii="宋体" w:hAnsi="宋体"/>
          <w:szCs w:val="21"/>
        </w:rPr>
        <w:t>不得邀请</w:t>
      </w:r>
      <w:r>
        <w:rPr>
          <w:rFonts w:hint="eastAsia" w:ascii="宋体" w:hAnsi="宋体"/>
          <w:szCs w:val="21"/>
          <w:lang w:eastAsia="zh-CN"/>
        </w:rPr>
        <w:t>招标人</w:t>
      </w:r>
      <w:r>
        <w:rPr>
          <w:rFonts w:hint="eastAsia" w:ascii="宋体" w:hAnsi="宋体"/>
          <w:szCs w:val="21"/>
        </w:rPr>
        <w:t>相关人员参加可能对货物、材料采购（处理）、签约、验收、结算等工作的公正性、廉洁性产生影响的各种宴请、旅游和消费娱乐等活动。</w:t>
      </w:r>
    </w:p>
    <w:p>
      <w:pPr>
        <w:autoSpaceDE w:val="0"/>
        <w:autoSpaceDN w:val="0"/>
        <w:adjustRightInd w:val="0"/>
        <w:snapToGrid w:val="0"/>
        <w:spacing w:line="360" w:lineRule="auto"/>
        <w:ind w:firstLine="420" w:firstLineChars="200"/>
        <w:rPr>
          <w:rFonts w:ascii="宋体"/>
          <w:szCs w:val="21"/>
        </w:rPr>
      </w:pPr>
      <w:r>
        <w:rPr>
          <w:rFonts w:ascii="宋体" w:hAnsi="宋体"/>
          <w:szCs w:val="21"/>
        </w:rPr>
        <w:t>4</w:t>
      </w:r>
      <w:r>
        <w:rPr>
          <w:rFonts w:hint="eastAsia" w:ascii="宋体" w:hAnsi="宋体"/>
          <w:szCs w:val="21"/>
        </w:rPr>
        <w:t>、</w:t>
      </w:r>
      <w:r>
        <w:rPr>
          <w:rFonts w:hint="eastAsia" w:ascii="宋体" w:hAnsi="宋体"/>
          <w:szCs w:val="21"/>
          <w:lang w:eastAsia="zh-CN"/>
        </w:rPr>
        <w:t>中标人</w:t>
      </w:r>
      <w:r>
        <w:rPr>
          <w:rFonts w:hint="eastAsia" w:ascii="宋体" w:hAnsi="宋体"/>
          <w:szCs w:val="21"/>
        </w:rPr>
        <w:t>不得变相采用借款、报销发票、提供交通工具等作为私用或其他手段向</w:t>
      </w:r>
      <w:r>
        <w:rPr>
          <w:rFonts w:hint="eastAsia" w:ascii="宋体" w:hAnsi="宋体"/>
          <w:szCs w:val="21"/>
          <w:lang w:eastAsia="zh-CN"/>
        </w:rPr>
        <w:t>招标人</w:t>
      </w:r>
      <w:r>
        <w:rPr>
          <w:rFonts w:hint="eastAsia" w:ascii="宋体" w:hAnsi="宋体"/>
          <w:szCs w:val="21"/>
        </w:rPr>
        <w:t>相关人员提供不正当利益。</w:t>
      </w:r>
    </w:p>
    <w:p>
      <w:pPr>
        <w:autoSpaceDE w:val="0"/>
        <w:autoSpaceDN w:val="0"/>
        <w:adjustRightInd w:val="0"/>
        <w:snapToGrid w:val="0"/>
        <w:spacing w:line="360" w:lineRule="auto"/>
        <w:ind w:firstLine="420" w:firstLineChars="200"/>
        <w:rPr>
          <w:rFonts w:ascii="宋体"/>
          <w:szCs w:val="21"/>
        </w:rPr>
      </w:pPr>
      <w:r>
        <w:rPr>
          <w:rFonts w:ascii="宋体" w:hAnsi="宋体"/>
          <w:szCs w:val="21"/>
        </w:rPr>
        <w:t>5</w:t>
      </w:r>
      <w:r>
        <w:rPr>
          <w:rFonts w:hint="eastAsia" w:ascii="宋体" w:hAnsi="宋体"/>
          <w:szCs w:val="21"/>
        </w:rPr>
        <w:t>、</w:t>
      </w:r>
      <w:r>
        <w:rPr>
          <w:rFonts w:hint="eastAsia" w:ascii="宋体" w:hAnsi="宋体"/>
          <w:szCs w:val="21"/>
          <w:lang w:eastAsia="zh-CN"/>
        </w:rPr>
        <w:t>中标人</w:t>
      </w:r>
      <w:r>
        <w:rPr>
          <w:rFonts w:hint="eastAsia" w:ascii="宋体" w:hAnsi="宋体"/>
          <w:szCs w:val="21"/>
        </w:rPr>
        <w:t>不得在货物、材料采购（处理）活动中向</w:t>
      </w:r>
      <w:r>
        <w:rPr>
          <w:rFonts w:hint="eastAsia" w:ascii="宋体" w:hAnsi="宋体"/>
          <w:szCs w:val="21"/>
          <w:lang w:eastAsia="zh-CN"/>
        </w:rPr>
        <w:t>招标人</w:t>
      </w:r>
      <w:r>
        <w:rPr>
          <w:rFonts w:hint="eastAsia" w:ascii="宋体" w:hAnsi="宋体"/>
          <w:szCs w:val="21"/>
        </w:rPr>
        <w:t>相关人员许诺提供或为其谋求各类不正当利益，或施加任何形式影响和干扰实施。本协议与甲乙双方签订的有关合同具有同等效力。</w:t>
      </w:r>
    </w:p>
    <w:p>
      <w:pPr>
        <w:autoSpaceDE w:val="0"/>
        <w:autoSpaceDN w:val="0"/>
        <w:adjustRightInd w:val="0"/>
        <w:snapToGrid w:val="0"/>
        <w:spacing w:line="360" w:lineRule="auto"/>
        <w:ind w:firstLine="420" w:firstLineChars="200"/>
        <w:rPr>
          <w:rFonts w:ascii="宋体"/>
          <w:szCs w:val="21"/>
        </w:rPr>
      </w:pPr>
      <w:r>
        <w:rPr>
          <w:rFonts w:hint="eastAsia" w:ascii="宋体" w:hAnsi="宋体"/>
          <w:szCs w:val="21"/>
        </w:rPr>
        <w:t>如出现上述行为，</w:t>
      </w:r>
      <w:r>
        <w:rPr>
          <w:rFonts w:hint="eastAsia" w:ascii="宋体" w:hAnsi="宋体"/>
          <w:szCs w:val="21"/>
          <w:lang w:eastAsia="zh-CN"/>
        </w:rPr>
        <w:t>中标人</w:t>
      </w:r>
      <w:r>
        <w:rPr>
          <w:rFonts w:hint="eastAsia" w:ascii="宋体" w:hAnsi="宋体"/>
          <w:szCs w:val="21"/>
        </w:rPr>
        <w:t>自愿承担相关责任，接受</w:t>
      </w:r>
      <w:r>
        <w:rPr>
          <w:rFonts w:hint="eastAsia" w:ascii="宋体" w:hAnsi="宋体"/>
          <w:szCs w:val="21"/>
          <w:lang w:eastAsia="zh-CN"/>
        </w:rPr>
        <w:t>招标人</w:t>
      </w:r>
      <w:r>
        <w:rPr>
          <w:rFonts w:hint="eastAsia" w:ascii="宋体" w:hAnsi="宋体"/>
          <w:szCs w:val="21"/>
        </w:rPr>
        <w:t>与</w:t>
      </w:r>
      <w:r>
        <w:rPr>
          <w:rFonts w:hint="eastAsia" w:ascii="宋体" w:hAnsi="宋体"/>
          <w:szCs w:val="21"/>
          <w:lang w:eastAsia="zh-CN"/>
        </w:rPr>
        <w:t>中标人</w:t>
      </w:r>
      <w:r>
        <w:rPr>
          <w:rFonts w:hint="eastAsia" w:ascii="宋体" w:hAnsi="宋体"/>
          <w:szCs w:val="21"/>
        </w:rPr>
        <w:t>终止合同的处理，造成损失的，</w:t>
      </w:r>
      <w:r>
        <w:rPr>
          <w:rFonts w:hint="eastAsia" w:ascii="宋体" w:hAnsi="宋体"/>
          <w:szCs w:val="21"/>
          <w:lang w:eastAsia="zh-CN"/>
        </w:rPr>
        <w:t>招标人</w:t>
      </w:r>
      <w:r>
        <w:rPr>
          <w:rFonts w:hint="eastAsia" w:ascii="宋体" w:hAnsi="宋体"/>
          <w:szCs w:val="21"/>
        </w:rPr>
        <w:t>有权追究</w:t>
      </w:r>
      <w:r>
        <w:rPr>
          <w:rFonts w:hint="eastAsia" w:ascii="宋体" w:hAnsi="宋体"/>
          <w:szCs w:val="21"/>
          <w:lang w:eastAsia="zh-CN"/>
        </w:rPr>
        <w:t>中标人</w:t>
      </w:r>
      <w:r>
        <w:rPr>
          <w:rFonts w:hint="eastAsia" w:ascii="宋体" w:hAnsi="宋体"/>
          <w:szCs w:val="21"/>
        </w:rPr>
        <w:t>法律责任。</w:t>
      </w:r>
    </w:p>
    <w:p>
      <w:pPr>
        <w:spacing w:line="360" w:lineRule="auto"/>
        <w:ind w:firstLine="420" w:firstLineChars="200"/>
        <w:rPr>
          <w:rFonts w:ascii="宋体"/>
          <w:szCs w:val="21"/>
        </w:rPr>
      </w:pPr>
    </w:p>
    <w:p>
      <w:pPr>
        <w:spacing w:line="360" w:lineRule="auto"/>
        <w:ind w:firstLine="420" w:firstLineChars="200"/>
        <w:rPr>
          <w:rFonts w:ascii="宋体" w:hAnsi="宋体"/>
          <w:bCs/>
          <w:szCs w:val="21"/>
        </w:rPr>
      </w:pPr>
      <w:r>
        <w:rPr>
          <w:rFonts w:hint="eastAsia" w:ascii="宋体" w:hAnsi="宋体"/>
          <w:szCs w:val="21"/>
          <w:lang w:eastAsia="zh-CN"/>
        </w:rPr>
        <w:t>招标人</w:t>
      </w:r>
      <w:r>
        <w:rPr>
          <w:rFonts w:hint="eastAsia" w:ascii="宋体" w:hAnsi="宋体"/>
          <w:szCs w:val="21"/>
        </w:rPr>
        <w:t>：（盖章）</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lang w:eastAsia="zh-CN"/>
        </w:rPr>
        <w:t>中标人</w:t>
      </w:r>
      <w:r>
        <w:rPr>
          <w:rFonts w:hint="eastAsia" w:ascii="宋体" w:hAnsi="宋体"/>
          <w:szCs w:val="21"/>
        </w:rPr>
        <w:t>：</w:t>
      </w:r>
      <w:r>
        <w:rPr>
          <w:rFonts w:hint="eastAsia" w:ascii="宋体" w:hAnsi="宋体"/>
          <w:bCs/>
          <w:szCs w:val="21"/>
        </w:rPr>
        <w:t>（盖章）</w:t>
      </w:r>
    </w:p>
    <w:p>
      <w:pPr>
        <w:spacing w:line="360" w:lineRule="auto"/>
        <w:ind w:firstLine="420" w:firstLineChars="200"/>
        <w:rPr>
          <w:rFonts w:hint="eastAsia" w:ascii="宋体"/>
          <w:szCs w:val="21"/>
        </w:rPr>
      </w:pPr>
    </w:p>
    <w:p>
      <w:pPr>
        <w:widowControl/>
        <w:spacing w:line="360" w:lineRule="auto"/>
        <w:ind w:firstLine="420" w:firstLineChars="200"/>
        <w:jc w:val="left"/>
        <w:rPr>
          <w:rFonts w:ascii="宋体" w:hAnsi="宋体"/>
          <w:szCs w:val="21"/>
        </w:rPr>
      </w:pPr>
      <w:r>
        <w:rPr>
          <w:rFonts w:hint="eastAsia" w:ascii="宋体" w:hAnsi="宋体"/>
          <w:szCs w:val="21"/>
        </w:rPr>
        <w:t>法定代表人或授权委托人（签字）：</w:t>
      </w:r>
      <w:r>
        <w:rPr>
          <w:rFonts w:ascii="宋体" w:hAnsi="宋体"/>
          <w:szCs w:val="21"/>
        </w:rPr>
        <w:t xml:space="preserve">              </w:t>
      </w:r>
      <w:r>
        <w:rPr>
          <w:rFonts w:hint="eastAsia" w:ascii="宋体" w:hAnsi="宋体"/>
          <w:szCs w:val="21"/>
        </w:rPr>
        <w:t>法定代表人或授权委托人（签字）：</w:t>
      </w:r>
    </w:p>
    <w:p>
      <w:pPr>
        <w:spacing w:line="360" w:lineRule="auto"/>
        <w:rPr>
          <w:rFonts w:ascii="宋体"/>
          <w:szCs w:val="21"/>
        </w:rPr>
      </w:pPr>
    </w:p>
    <w:p>
      <w:pPr>
        <w:spacing w:line="360" w:lineRule="auto"/>
        <w:rPr>
          <w:rFonts w:ascii="宋体"/>
          <w:b/>
          <w:bCs/>
          <w:szCs w:val="21"/>
        </w:rPr>
      </w:pPr>
    </w:p>
    <w:p>
      <w:pPr>
        <w:spacing w:line="360" w:lineRule="auto"/>
        <w:rPr>
          <w:rFonts w:ascii="宋体"/>
          <w:b/>
          <w:bCs/>
          <w:szCs w:val="21"/>
        </w:rPr>
      </w:pPr>
    </w:p>
    <w:p>
      <w:pPr>
        <w:tabs>
          <w:tab w:val="left" w:pos="2977"/>
        </w:tabs>
        <w:adjustRightInd w:val="0"/>
        <w:snapToGrid w:val="0"/>
        <w:spacing w:line="440" w:lineRule="exact"/>
        <w:jc w:val="left"/>
        <w:rPr>
          <w:rFonts w:ascii="宋体" w:cs="宋体"/>
          <w:szCs w:val="21"/>
        </w:rPr>
      </w:pPr>
    </w:p>
    <w:p>
      <w:pPr>
        <w:tabs>
          <w:tab w:val="left" w:pos="2977"/>
        </w:tabs>
        <w:adjustRightInd w:val="0"/>
        <w:snapToGrid w:val="0"/>
        <w:spacing w:line="440" w:lineRule="exact"/>
        <w:jc w:val="left"/>
        <w:rPr>
          <w:rFonts w:hint="eastAsia" w:ascii="宋体" w:cs="宋体"/>
          <w:szCs w:val="21"/>
        </w:rPr>
      </w:pPr>
    </w:p>
    <w:p>
      <w:pPr>
        <w:tabs>
          <w:tab w:val="left" w:pos="2977"/>
        </w:tabs>
        <w:adjustRightInd w:val="0"/>
        <w:snapToGrid w:val="0"/>
        <w:spacing w:line="440" w:lineRule="exact"/>
        <w:jc w:val="left"/>
        <w:rPr>
          <w:rFonts w:hint="eastAsia" w:ascii="宋体" w:cs="宋体"/>
          <w:szCs w:val="21"/>
        </w:rPr>
      </w:pPr>
    </w:p>
    <w:p>
      <w:pPr>
        <w:pStyle w:val="2"/>
        <w:rPr>
          <w:rFonts w:hint="eastAsia"/>
        </w:rPr>
      </w:pPr>
    </w:p>
    <w:p>
      <w:pPr>
        <w:tabs>
          <w:tab w:val="left" w:pos="2977"/>
        </w:tabs>
        <w:adjustRightInd w:val="0"/>
        <w:snapToGrid w:val="0"/>
        <w:spacing w:line="440" w:lineRule="exact"/>
        <w:jc w:val="left"/>
        <w:rPr>
          <w:rFonts w:hint="eastAsia" w:ascii="宋体" w:cs="宋体"/>
          <w:szCs w:val="21"/>
        </w:rPr>
      </w:pPr>
    </w:p>
    <w:p>
      <w:pPr>
        <w:pStyle w:val="77"/>
        <w:spacing w:before="240" w:after="120"/>
        <w:rPr>
          <w:rStyle w:val="48"/>
          <w:rFonts w:hint="eastAsia"/>
          <w:b/>
          <w:bCs/>
          <w:sz w:val="28"/>
          <w:szCs w:val="28"/>
        </w:rPr>
      </w:pPr>
      <w:bookmarkStart w:id="514" w:name="_Toc11951"/>
      <w:r>
        <w:rPr>
          <w:rStyle w:val="48"/>
          <w:rFonts w:hint="eastAsia"/>
          <w:b/>
          <w:bCs/>
          <w:sz w:val="28"/>
          <w:szCs w:val="28"/>
        </w:rPr>
        <w:t>第六章  投标文件格式</w:t>
      </w:r>
      <w:bookmarkEnd w:id="514"/>
    </w:p>
    <w:p>
      <w:pPr>
        <w:wordWrap w:val="0"/>
        <w:spacing w:after="120" w:line="360" w:lineRule="atLeast"/>
        <w:jc w:val="right"/>
        <w:outlineLvl w:val="0"/>
        <w:rPr>
          <w:rFonts w:ascii="宋体" w:cs="宋体"/>
          <w:sz w:val="24"/>
        </w:rPr>
      </w:pPr>
      <w:bookmarkStart w:id="515" w:name="_Toc31883"/>
      <w:r>
        <w:rPr>
          <w:rFonts w:hint="eastAsia" w:ascii="宋体" w:cs="宋体"/>
          <w:sz w:val="24"/>
        </w:rPr>
        <w:t>正本</w:t>
      </w:r>
      <w:r>
        <w:rPr>
          <w:rFonts w:ascii="宋体" w:cs="宋体"/>
          <w:sz w:val="24"/>
        </w:rPr>
        <w:t>/</w:t>
      </w:r>
      <w:r>
        <w:rPr>
          <w:rFonts w:hint="eastAsia" w:ascii="宋体" w:cs="宋体"/>
          <w:sz w:val="24"/>
        </w:rPr>
        <w:t>副本</w:t>
      </w:r>
      <w:bookmarkEnd w:id="515"/>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wordWrap w:val="0"/>
        <w:spacing w:after="120" w:line="360" w:lineRule="atLeast"/>
        <w:jc w:val="center"/>
        <w:rPr>
          <w:rFonts w:ascii="宋体" w:cs="宋体"/>
          <w:sz w:val="32"/>
          <w:szCs w:val="32"/>
          <w:u w:val="single"/>
        </w:rPr>
      </w:pPr>
    </w:p>
    <w:p>
      <w:pPr>
        <w:spacing w:after="120" w:line="360" w:lineRule="auto"/>
        <w:jc w:val="center"/>
        <w:rPr>
          <w:rFonts w:hint="eastAsia" w:ascii="宋体" w:hAnsi="宋体" w:cs="宋体"/>
          <w:b/>
          <w:sz w:val="30"/>
          <w:szCs w:val="30"/>
        </w:rPr>
      </w:pPr>
      <w:r>
        <w:rPr>
          <w:rFonts w:hint="eastAsia" w:ascii="宋体" w:hAnsi="宋体" w:cs="宋体"/>
          <w:b/>
          <w:sz w:val="30"/>
          <w:szCs w:val="30"/>
        </w:rPr>
        <w:t xml:space="preserve">                                </w:t>
      </w:r>
    </w:p>
    <w:p>
      <w:pPr>
        <w:spacing w:after="120" w:line="360" w:lineRule="atLeast"/>
        <w:jc w:val="center"/>
        <w:rPr>
          <w:rFonts w:hint="eastAsia" w:ascii="宋体" w:hAnsi="宋体" w:cs="宋体"/>
          <w:bCs/>
          <w:sz w:val="30"/>
          <w:szCs w:val="30"/>
        </w:rPr>
      </w:pPr>
      <w:r>
        <w:rPr>
          <w:rFonts w:hint="eastAsia" w:ascii="宋体" w:hAnsi="宋体" w:cs="宋体"/>
          <w:bCs/>
          <w:sz w:val="30"/>
          <w:szCs w:val="30"/>
        </w:rPr>
        <w:t>S103济枣线山亭区凫城至市中区曾店段改建工程</w:t>
      </w:r>
    </w:p>
    <w:p>
      <w:pPr>
        <w:spacing w:after="120" w:line="360" w:lineRule="atLeast"/>
        <w:jc w:val="center"/>
        <w:rPr>
          <w:rFonts w:hint="eastAsia" w:ascii="宋体" w:hAnsi="宋体" w:cs="宋体"/>
          <w:b/>
          <w:sz w:val="30"/>
          <w:szCs w:val="30"/>
        </w:rPr>
      </w:pPr>
      <w:r>
        <w:rPr>
          <w:rFonts w:hint="eastAsia" w:ascii="宋体" w:hAnsi="宋体" w:cs="宋体"/>
          <w:bCs/>
          <w:sz w:val="30"/>
          <w:szCs w:val="30"/>
        </w:rPr>
        <w:t>钢材采购</w:t>
      </w:r>
    </w:p>
    <w:p>
      <w:pPr>
        <w:spacing w:after="120"/>
        <w:jc w:val="center"/>
        <w:rPr>
          <w:rFonts w:ascii="宋体" w:cs="宋体"/>
          <w:b/>
          <w:sz w:val="32"/>
          <w:szCs w:val="32"/>
        </w:rPr>
      </w:pPr>
    </w:p>
    <w:p>
      <w:pPr>
        <w:spacing w:after="120"/>
        <w:jc w:val="center"/>
        <w:rPr>
          <w:rFonts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ascii="宋体" w:cs="宋体"/>
          <w:b/>
          <w:sz w:val="32"/>
          <w:szCs w:val="32"/>
        </w:rPr>
      </w:pPr>
    </w:p>
    <w:p>
      <w:pPr>
        <w:adjustRightInd w:val="0"/>
        <w:snapToGrid w:val="0"/>
        <w:spacing w:line="440" w:lineRule="exact"/>
        <w:ind w:firstLine="720" w:firstLineChars="300"/>
        <w:outlineLvl w:val="0"/>
        <w:rPr>
          <w:rFonts w:ascii="宋体" w:cs="宋体"/>
          <w:sz w:val="24"/>
        </w:rPr>
      </w:pPr>
      <w:bookmarkStart w:id="516" w:name="_Toc5056"/>
      <w:r>
        <w:rPr>
          <w:rFonts w:hint="eastAsia" w:ascii="宋体" w:hAnsi="宋体" w:cs="宋体"/>
          <w:sz w:val="24"/>
        </w:rPr>
        <w:t>投标人名称：</w:t>
      </w:r>
      <w:r>
        <w:rPr>
          <w:rFonts w:ascii="宋体" w:hAnsi="宋体" w:cs="宋体"/>
          <w:sz w:val="24"/>
          <w:u w:val="single"/>
        </w:rPr>
        <w:t xml:space="preserve">                              </w:t>
      </w:r>
      <w:r>
        <w:rPr>
          <w:rFonts w:hint="eastAsia" w:ascii="宋体" w:hAnsi="宋体" w:cs="宋体"/>
          <w:sz w:val="24"/>
        </w:rPr>
        <w:t>（盖单位公章）</w:t>
      </w:r>
      <w:bookmarkEnd w:id="516"/>
    </w:p>
    <w:p>
      <w:pPr>
        <w:adjustRightInd w:val="0"/>
        <w:snapToGrid w:val="0"/>
        <w:spacing w:line="440" w:lineRule="exact"/>
        <w:ind w:firstLine="1020" w:firstLineChars="425"/>
        <w:rPr>
          <w:rFonts w:ascii="宋体" w:cs="宋体"/>
          <w:sz w:val="24"/>
        </w:rPr>
      </w:pPr>
    </w:p>
    <w:p>
      <w:pPr>
        <w:adjustRightInd w:val="0"/>
        <w:snapToGrid w:val="0"/>
        <w:spacing w:line="440" w:lineRule="exact"/>
        <w:ind w:firstLine="720" w:firstLineChars="300"/>
        <w:outlineLvl w:val="0"/>
        <w:rPr>
          <w:rFonts w:ascii="宋体" w:cs="宋体"/>
          <w:sz w:val="24"/>
          <w:u w:val="single"/>
        </w:rPr>
      </w:pPr>
      <w:bookmarkStart w:id="517" w:name="_Toc9585"/>
      <w:r>
        <w:rPr>
          <w:rFonts w:hint="eastAsia" w:ascii="宋体" w:hAnsi="宋体" w:cs="宋体"/>
          <w:sz w:val="24"/>
        </w:rPr>
        <w:t>法定代表人或者授权委托人：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bookmarkEnd w:id="517"/>
    </w:p>
    <w:p>
      <w:pPr>
        <w:adjustRightInd w:val="0"/>
        <w:snapToGrid w:val="0"/>
        <w:spacing w:after="120" w:line="440" w:lineRule="exact"/>
        <w:ind w:firstLine="1200" w:firstLineChars="500"/>
        <w:jc w:val="left"/>
        <w:rPr>
          <w:rFonts w:ascii="宋体" w:cs="宋体"/>
          <w:sz w:val="24"/>
        </w:rPr>
      </w:pPr>
    </w:p>
    <w:p>
      <w:pPr>
        <w:adjustRightInd w:val="0"/>
        <w:snapToGrid w:val="0"/>
        <w:spacing w:line="440" w:lineRule="exact"/>
        <w:jc w:val="center"/>
        <w:outlineLvl w:val="0"/>
        <w:rPr>
          <w:rFonts w:ascii="宋体" w:cs="宋体"/>
        </w:rPr>
      </w:pPr>
      <w:r>
        <w:rPr>
          <w:rFonts w:ascii="宋体" w:hAnsi="宋体" w:cs="宋体"/>
          <w:sz w:val="24"/>
          <w:u w:val="single"/>
        </w:rPr>
        <w:t xml:space="preserve">     </w:t>
      </w:r>
      <w:bookmarkStart w:id="518" w:name="_Toc7520"/>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bookmarkEnd w:id="518"/>
    </w:p>
    <w:p/>
    <w:p>
      <w:pPr>
        <w:spacing w:after="120"/>
        <w:jc w:val="center"/>
        <w:rPr>
          <w:rFonts w:hint="eastAsia" w:ascii="宋体" w:cs="宋体"/>
          <w:b/>
          <w:sz w:val="36"/>
          <w:szCs w:val="36"/>
        </w:rPr>
      </w:pPr>
    </w:p>
    <w:p>
      <w:pPr>
        <w:pStyle w:val="4"/>
        <w:rPr>
          <w:rFonts w:hint="eastAsia"/>
        </w:rPr>
      </w:pPr>
    </w:p>
    <w:p>
      <w:pPr>
        <w:pStyle w:val="2"/>
        <w:ind w:left="0" w:leftChars="0" w:firstLine="0" w:firstLineChars="0"/>
        <w:rPr>
          <w:rFonts w:ascii="宋体" w:cs="宋体"/>
          <w:b/>
          <w:sz w:val="36"/>
          <w:szCs w:val="36"/>
        </w:rPr>
      </w:pPr>
    </w:p>
    <w:p>
      <w:pPr>
        <w:pStyle w:val="2"/>
        <w:rPr>
          <w:rFonts w:ascii="宋体" w:cs="宋体"/>
          <w:b/>
          <w:sz w:val="36"/>
          <w:szCs w:val="36"/>
        </w:rPr>
      </w:pPr>
    </w:p>
    <w:p>
      <w:pPr>
        <w:spacing w:after="120"/>
        <w:jc w:val="center"/>
        <w:outlineLvl w:val="0"/>
        <w:rPr>
          <w:rFonts w:ascii="宋体" w:cs="宋体"/>
          <w:b/>
          <w:sz w:val="36"/>
          <w:szCs w:val="36"/>
        </w:rPr>
      </w:pPr>
      <w:bookmarkStart w:id="519" w:name="_Toc21954"/>
      <w:r>
        <w:rPr>
          <w:rFonts w:hint="eastAsia" w:ascii="宋体" w:hAnsi="宋体" w:cs="宋体"/>
          <w:b/>
          <w:sz w:val="36"/>
          <w:szCs w:val="36"/>
        </w:rPr>
        <w:t>目</w:t>
      </w:r>
      <w:r>
        <w:rPr>
          <w:rFonts w:ascii="宋体" w:hAnsi="宋体" w:cs="宋体"/>
          <w:b/>
          <w:sz w:val="36"/>
          <w:szCs w:val="36"/>
        </w:rPr>
        <w:t xml:space="preserve"> </w:t>
      </w:r>
      <w:r>
        <w:rPr>
          <w:rFonts w:hint="eastAsia" w:ascii="宋体" w:hAnsi="宋体" w:cs="宋体"/>
          <w:b/>
          <w:sz w:val="36"/>
          <w:szCs w:val="36"/>
        </w:rPr>
        <w:t>录</w:t>
      </w:r>
      <w:bookmarkEnd w:id="519"/>
    </w:p>
    <w:p/>
    <w:p>
      <w:pPr>
        <w:pStyle w:val="83"/>
        <w:tabs>
          <w:tab w:val="left" w:pos="567"/>
        </w:tabs>
        <w:adjustRightInd w:val="0"/>
        <w:snapToGrid w:val="0"/>
        <w:spacing w:line="440" w:lineRule="exact"/>
        <w:ind w:firstLine="0" w:firstLineChars="0"/>
        <w:outlineLvl w:val="0"/>
        <w:rPr>
          <w:rFonts w:ascii="宋体" w:cs="宋体"/>
          <w:sz w:val="24"/>
        </w:rPr>
      </w:pPr>
      <w:bookmarkStart w:id="520" w:name="_Toc5756"/>
      <w:r>
        <w:rPr>
          <w:rFonts w:hint="eastAsia" w:ascii="宋体" w:hAnsi="宋体" w:cs="宋体"/>
          <w:sz w:val="24"/>
        </w:rPr>
        <w:t>一、投标函</w:t>
      </w:r>
      <w:bookmarkEnd w:id="520"/>
    </w:p>
    <w:p>
      <w:pPr>
        <w:pStyle w:val="83"/>
        <w:tabs>
          <w:tab w:val="left" w:pos="567"/>
        </w:tabs>
        <w:adjustRightInd w:val="0"/>
        <w:snapToGrid w:val="0"/>
        <w:spacing w:line="440" w:lineRule="exact"/>
        <w:ind w:firstLine="0" w:firstLineChars="0"/>
        <w:outlineLvl w:val="0"/>
        <w:rPr>
          <w:rFonts w:ascii="宋体" w:cs="宋体"/>
          <w:sz w:val="24"/>
        </w:rPr>
      </w:pPr>
      <w:bookmarkStart w:id="521" w:name="_Toc30558"/>
      <w:r>
        <w:rPr>
          <w:rFonts w:hint="eastAsia" w:ascii="宋体" w:hAnsi="宋体" w:cs="宋体"/>
          <w:sz w:val="24"/>
        </w:rPr>
        <w:t>二、法定代表人身份证明</w:t>
      </w:r>
      <w:bookmarkEnd w:id="521"/>
    </w:p>
    <w:p>
      <w:pPr>
        <w:pStyle w:val="83"/>
        <w:tabs>
          <w:tab w:val="left" w:pos="567"/>
        </w:tabs>
        <w:adjustRightInd w:val="0"/>
        <w:snapToGrid w:val="0"/>
        <w:spacing w:line="440" w:lineRule="exact"/>
        <w:ind w:firstLine="0" w:firstLineChars="0"/>
        <w:outlineLvl w:val="0"/>
        <w:rPr>
          <w:rFonts w:ascii="宋体" w:cs="宋体"/>
          <w:sz w:val="24"/>
        </w:rPr>
      </w:pPr>
      <w:bookmarkStart w:id="522" w:name="_Toc2428"/>
      <w:r>
        <w:rPr>
          <w:rFonts w:hint="eastAsia" w:ascii="宋体" w:hAnsi="宋体" w:cs="宋体"/>
          <w:sz w:val="24"/>
        </w:rPr>
        <w:t>三、法定代表人授权委托书</w:t>
      </w:r>
      <w:bookmarkEnd w:id="522"/>
    </w:p>
    <w:p>
      <w:pPr>
        <w:pStyle w:val="83"/>
        <w:tabs>
          <w:tab w:val="left" w:pos="567"/>
        </w:tabs>
        <w:adjustRightInd w:val="0"/>
        <w:snapToGrid w:val="0"/>
        <w:spacing w:line="440" w:lineRule="exact"/>
        <w:ind w:firstLine="0" w:firstLineChars="0"/>
        <w:outlineLvl w:val="0"/>
        <w:rPr>
          <w:rFonts w:ascii="宋体" w:hAnsi="宋体" w:cs="宋体"/>
          <w:sz w:val="24"/>
        </w:rPr>
      </w:pPr>
      <w:bookmarkStart w:id="523" w:name="_Toc7209"/>
      <w:r>
        <w:rPr>
          <w:rFonts w:hint="eastAsia" w:ascii="宋体" w:hAnsi="宋体" w:cs="宋体"/>
          <w:sz w:val="24"/>
        </w:rPr>
        <w:t>四、投标报价表及说明</w:t>
      </w:r>
      <w:bookmarkEnd w:id="523"/>
    </w:p>
    <w:p>
      <w:pPr>
        <w:pStyle w:val="83"/>
        <w:tabs>
          <w:tab w:val="left" w:pos="567"/>
        </w:tabs>
        <w:adjustRightInd w:val="0"/>
        <w:snapToGrid w:val="0"/>
        <w:spacing w:line="440" w:lineRule="exact"/>
        <w:ind w:firstLine="0" w:firstLineChars="0"/>
        <w:outlineLvl w:val="0"/>
        <w:rPr>
          <w:rFonts w:ascii="宋体" w:cs="宋体"/>
          <w:sz w:val="24"/>
        </w:rPr>
      </w:pPr>
      <w:bookmarkStart w:id="524" w:name="_Toc3881"/>
      <w:r>
        <w:rPr>
          <w:rFonts w:hint="eastAsia" w:ascii="宋体" w:hAnsi="宋体" w:cs="宋体"/>
          <w:sz w:val="24"/>
        </w:rPr>
        <w:t>五、投标人综合概况表</w:t>
      </w:r>
      <w:bookmarkEnd w:id="524"/>
    </w:p>
    <w:p>
      <w:pPr>
        <w:pStyle w:val="83"/>
        <w:tabs>
          <w:tab w:val="left" w:pos="567"/>
        </w:tabs>
        <w:adjustRightInd w:val="0"/>
        <w:snapToGrid w:val="0"/>
        <w:spacing w:line="440" w:lineRule="exact"/>
        <w:ind w:firstLine="0" w:firstLineChars="0"/>
        <w:outlineLvl w:val="0"/>
        <w:rPr>
          <w:rFonts w:ascii="宋体" w:cs="宋体"/>
          <w:sz w:val="24"/>
        </w:rPr>
      </w:pPr>
      <w:bookmarkStart w:id="525" w:name="_Toc19421"/>
      <w:r>
        <w:rPr>
          <w:rFonts w:hint="eastAsia" w:ascii="宋体" w:hAnsi="宋体" w:cs="宋体"/>
          <w:sz w:val="24"/>
        </w:rPr>
        <w:t>六、资格审查资料</w:t>
      </w:r>
      <w:bookmarkEnd w:id="525"/>
    </w:p>
    <w:p>
      <w:pPr>
        <w:pStyle w:val="83"/>
        <w:tabs>
          <w:tab w:val="left" w:pos="567"/>
        </w:tabs>
        <w:adjustRightInd w:val="0"/>
        <w:snapToGrid w:val="0"/>
        <w:spacing w:line="440" w:lineRule="exact"/>
        <w:ind w:firstLine="0" w:firstLineChars="0"/>
        <w:outlineLvl w:val="0"/>
        <w:rPr>
          <w:rFonts w:ascii="宋体" w:cs="宋体"/>
          <w:sz w:val="24"/>
        </w:rPr>
      </w:pPr>
      <w:bookmarkStart w:id="526" w:name="_Toc10711"/>
      <w:r>
        <w:rPr>
          <w:rFonts w:hint="eastAsia" w:ascii="宋体" w:hAnsi="宋体" w:cs="宋体"/>
          <w:sz w:val="24"/>
        </w:rPr>
        <w:t>七、</w:t>
      </w:r>
      <w:r>
        <w:rPr>
          <w:rFonts w:hint="eastAsia" w:ascii="宋体" w:hAnsi="宋体"/>
          <w:sz w:val="24"/>
        </w:rPr>
        <w:t>近三年（</w:t>
      </w:r>
      <w:r>
        <w:rPr>
          <w:rFonts w:ascii="宋体" w:hAnsi="宋体"/>
          <w:sz w:val="24"/>
        </w:rPr>
        <w:t>201</w:t>
      </w:r>
      <w:r>
        <w:rPr>
          <w:rFonts w:hint="eastAsia" w:ascii="宋体" w:hAnsi="宋体"/>
          <w:sz w:val="24"/>
        </w:rPr>
        <w:t>8年1</w:t>
      </w:r>
      <w:r>
        <w:rPr>
          <w:rFonts w:hint="eastAsia" w:ascii="宋体" w:hAnsi="宋体"/>
          <w:sz w:val="24"/>
          <w:lang w:val="en-US" w:eastAsia="zh-CN"/>
        </w:rPr>
        <w:t>1</w:t>
      </w:r>
      <w:r>
        <w:rPr>
          <w:rFonts w:hint="eastAsia" w:ascii="宋体" w:hAnsi="宋体"/>
          <w:sz w:val="24"/>
        </w:rPr>
        <w:t>月－2021年</w:t>
      </w:r>
      <w:r>
        <w:rPr>
          <w:rFonts w:hint="eastAsia" w:ascii="宋体" w:hAnsi="宋体"/>
          <w:sz w:val="24"/>
          <w:lang w:val="en-US" w:eastAsia="zh-CN"/>
        </w:rPr>
        <w:t>11</w:t>
      </w:r>
      <w:r>
        <w:rPr>
          <w:rFonts w:hint="eastAsia" w:ascii="宋体" w:hAnsi="宋体"/>
          <w:sz w:val="24"/>
        </w:rPr>
        <w:t>月）业绩情况表</w:t>
      </w:r>
      <w:bookmarkEnd w:id="526"/>
    </w:p>
    <w:p>
      <w:pPr>
        <w:tabs>
          <w:tab w:val="left" w:pos="567"/>
        </w:tabs>
        <w:adjustRightInd w:val="0"/>
        <w:snapToGrid w:val="0"/>
        <w:spacing w:line="440" w:lineRule="exact"/>
        <w:outlineLvl w:val="0"/>
        <w:rPr>
          <w:rFonts w:ascii="宋体" w:cs="宋体"/>
          <w:sz w:val="24"/>
        </w:rPr>
      </w:pPr>
      <w:bookmarkStart w:id="527" w:name="_Toc5146"/>
      <w:r>
        <w:rPr>
          <w:rFonts w:hint="eastAsia" w:ascii="宋体" w:hAnsi="宋体" w:cs="宋体"/>
          <w:sz w:val="24"/>
        </w:rPr>
        <w:t>八、服务方案及综合实力</w:t>
      </w:r>
      <w:bookmarkEnd w:id="527"/>
    </w:p>
    <w:p>
      <w:pPr>
        <w:tabs>
          <w:tab w:val="left" w:pos="567"/>
        </w:tabs>
        <w:adjustRightInd w:val="0"/>
        <w:snapToGrid w:val="0"/>
        <w:spacing w:line="440" w:lineRule="exact"/>
        <w:outlineLvl w:val="0"/>
        <w:rPr>
          <w:rFonts w:ascii="宋体" w:cs="宋体"/>
          <w:sz w:val="24"/>
        </w:rPr>
      </w:pPr>
      <w:bookmarkStart w:id="528" w:name="_Toc18288"/>
      <w:r>
        <w:rPr>
          <w:rFonts w:hint="eastAsia" w:ascii="宋体" w:hAnsi="宋体" w:cs="宋体"/>
          <w:sz w:val="24"/>
        </w:rPr>
        <w:t>九、其他相关证明材料</w:t>
      </w:r>
      <w:bookmarkEnd w:id="528"/>
    </w:p>
    <w:p>
      <w:pPr>
        <w:pStyle w:val="37"/>
        <w:tabs>
          <w:tab w:val="left" w:pos="588"/>
        </w:tabs>
        <w:snapToGrid w:val="0"/>
        <w:spacing w:before="120" w:after="120" w:line="440" w:lineRule="exact"/>
        <w:jc w:val="left"/>
        <w:outlineLvl w:val="9"/>
        <w:rPr>
          <w:rFonts w:ascii="宋体"/>
          <w:sz w:val="24"/>
          <w:szCs w:val="24"/>
        </w:rPr>
      </w:pPr>
    </w:p>
    <w:p>
      <w:pPr>
        <w:pStyle w:val="37"/>
        <w:tabs>
          <w:tab w:val="left" w:pos="588"/>
        </w:tabs>
        <w:snapToGrid w:val="0"/>
        <w:spacing w:before="120" w:after="120" w:line="440" w:lineRule="exact"/>
        <w:jc w:val="left"/>
        <w:outlineLvl w:val="9"/>
        <w:rPr>
          <w:rFonts w:ascii="宋体"/>
          <w:sz w:val="24"/>
          <w:szCs w:val="24"/>
        </w:rPr>
      </w:pPr>
    </w:p>
    <w:p>
      <w:pPr>
        <w:pStyle w:val="37"/>
        <w:tabs>
          <w:tab w:val="left" w:pos="588"/>
        </w:tabs>
        <w:snapToGrid w:val="0"/>
        <w:spacing w:before="120" w:after="120" w:line="440" w:lineRule="exact"/>
        <w:jc w:val="left"/>
        <w:outlineLvl w:val="9"/>
        <w:rPr>
          <w:rFonts w:ascii="宋体"/>
          <w:sz w:val="24"/>
          <w:szCs w:val="24"/>
        </w:rPr>
      </w:pPr>
    </w:p>
    <w:p>
      <w:pPr>
        <w:pStyle w:val="37"/>
        <w:tabs>
          <w:tab w:val="left" w:pos="588"/>
        </w:tabs>
        <w:snapToGrid w:val="0"/>
        <w:spacing w:before="120" w:after="120" w:line="440" w:lineRule="exact"/>
        <w:jc w:val="left"/>
        <w:outlineLvl w:val="9"/>
        <w:rPr>
          <w:rFonts w:ascii="宋体"/>
          <w:sz w:val="24"/>
          <w:szCs w:val="24"/>
        </w:rPr>
      </w:pPr>
    </w:p>
    <w:p>
      <w:pPr>
        <w:pStyle w:val="37"/>
        <w:tabs>
          <w:tab w:val="left" w:pos="588"/>
        </w:tabs>
        <w:snapToGrid w:val="0"/>
        <w:spacing w:before="120" w:after="120" w:line="440" w:lineRule="exact"/>
        <w:jc w:val="left"/>
        <w:outlineLvl w:val="9"/>
        <w:rPr>
          <w:rFonts w:ascii="宋体"/>
          <w:sz w:val="24"/>
          <w:szCs w:val="24"/>
        </w:rPr>
      </w:pPr>
    </w:p>
    <w:p>
      <w:pPr>
        <w:pStyle w:val="37"/>
        <w:tabs>
          <w:tab w:val="left" w:pos="588"/>
        </w:tabs>
        <w:snapToGrid w:val="0"/>
        <w:spacing w:before="120" w:after="120" w:line="440" w:lineRule="exact"/>
        <w:jc w:val="left"/>
        <w:outlineLvl w:val="9"/>
        <w:rPr>
          <w:rFonts w:ascii="宋体"/>
          <w:sz w:val="24"/>
          <w:szCs w:val="24"/>
        </w:rPr>
      </w:pPr>
    </w:p>
    <w:p>
      <w:pPr>
        <w:pStyle w:val="37"/>
        <w:tabs>
          <w:tab w:val="left" w:pos="588"/>
        </w:tabs>
        <w:snapToGrid w:val="0"/>
        <w:spacing w:before="120" w:after="120" w:line="440" w:lineRule="exact"/>
        <w:jc w:val="left"/>
        <w:outlineLvl w:val="9"/>
        <w:rPr>
          <w:rFonts w:ascii="宋体"/>
          <w:sz w:val="24"/>
          <w:szCs w:val="24"/>
        </w:rPr>
      </w:pPr>
    </w:p>
    <w:p>
      <w:pPr>
        <w:pStyle w:val="37"/>
        <w:tabs>
          <w:tab w:val="left" w:pos="588"/>
        </w:tabs>
        <w:snapToGrid w:val="0"/>
        <w:spacing w:before="120" w:after="120" w:line="440" w:lineRule="exact"/>
        <w:jc w:val="left"/>
        <w:outlineLvl w:val="9"/>
        <w:rPr>
          <w:rFonts w:ascii="宋体"/>
          <w:sz w:val="24"/>
          <w:szCs w:val="24"/>
        </w:rPr>
      </w:pPr>
    </w:p>
    <w:p>
      <w:pPr>
        <w:pStyle w:val="37"/>
        <w:tabs>
          <w:tab w:val="left" w:pos="588"/>
        </w:tabs>
        <w:snapToGrid w:val="0"/>
        <w:spacing w:before="120" w:after="120" w:line="440" w:lineRule="exact"/>
        <w:jc w:val="left"/>
        <w:outlineLvl w:val="9"/>
        <w:rPr>
          <w:rFonts w:ascii="宋体"/>
          <w:sz w:val="24"/>
          <w:szCs w:val="24"/>
        </w:rPr>
      </w:pPr>
    </w:p>
    <w:p>
      <w:pPr>
        <w:pStyle w:val="37"/>
        <w:tabs>
          <w:tab w:val="left" w:pos="588"/>
        </w:tabs>
        <w:snapToGrid w:val="0"/>
        <w:spacing w:before="120" w:after="120" w:line="440" w:lineRule="exact"/>
        <w:jc w:val="left"/>
        <w:outlineLvl w:val="9"/>
        <w:rPr>
          <w:rFonts w:ascii="宋体"/>
          <w:sz w:val="24"/>
          <w:szCs w:val="24"/>
        </w:rPr>
      </w:pPr>
    </w:p>
    <w:p>
      <w:pPr>
        <w:pStyle w:val="37"/>
        <w:tabs>
          <w:tab w:val="left" w:pos="588"/>
        </w:tabs>
        <w:snapToGrid w:val="0"/>
        <w:spacing w:before="120" w:after="120" w:line="440" w:lineRule="exact"/>
        <w:jc w:val="left"/>
        <w:outlineLvl w:val="9"/>
        <w:rPr>
          <w:rFonts w:ascii="宋体"/>
          <w:sz w:val="24"/>
          <w:szCs w:val="24"/>
        </w:rPr>
      </w:pPr>
    </w:p>
    <w:p>
      <w:pPr>
        <w:pStyle w:val="37"/>
        <w:tabs>
          <w:tab w:val="left" w:pos="588"/>
        </w:tabs>
        <w:snapToGrid w:val="0"/>
        <w:spacing w:before="120" w:after="120" w:line="440" w:lineRule="exact"/>
        <w:jc w:val="left"/>
        <w:outlineLvl w:val="9"/>
        <w:rPr>
          <w:rFonts w:ascii="宋体"/>
          <w:sz w:val="24"/>
          <w:szCs w:val="24"/>
        </w:rPr>
      </w:pPr>
    </w:p>
    <w:p/>
    <w:p/>
    <w:p>
      <w:pPr>
        <w:pStyle w:val="37"/>
        <w:tabs>
          <w:tab w:val="left" w:pos="588"/>
        </w:tabs>
        <w:snapToGrid w:val="0"/>
        <w:spacing w:before="120" w:after="120" w:line="440" w:lineRule="exact"/>
        <w:jc w:val="left"/>
        <w:outlineLvl w:val="9"/>
        <w:rPr>
          <w:rFonts w:ascii="宋体"/>
          <w:sz w:val="24"/>
          <w:szCs w:val="24"/>
        </w:rPr>
      </w:pPr>
    </w:p>
    <w:p/>
    <w:p>
      <w:pPr>
        <w:pStyle w:val="4"/>
        <w:snapToGrid w:val="0"/>
        <w:spacing w:before="240" w:after="120" w:line="240" w:lineRule="auto"/>
        <w:jc w:val="center"/>
        <w:rPr>
          <w:rFonts w:ascii="宋体" w:hAnsi="宋体" w:eastAsia="宋体" w:cs="宋体"/>
          <w:bCs w:val="0"/>
          <w:sz w:val="24"/>
          <w:szCs w:val="24"/>
        </w:rPr>
      </w:pPr>
      <w:bookmarkStart w:id="529" w:name="_Toc6908"/>
      <w:r>
        <w:rPr>
          <w:rFonts w:hint="eastAsia" w:ascii="宋体" w:hAnsi="宋体" w:eastAsia="宋体" w:cs="宋体"/>
          <w:bCs w:val="0"/>
          <w:sz w:val="24"/>
          <w:szCs w:val="24"/>
        </w:rPr>
        <w:t>一、投</w:t>
      </w:r>
      <w:r>
        <w:rPr>
          <w:rFonts w:ascii="宋体" w:hAnsi="宋体" w:eastAsia="宋体" w:cs="宋体"/>
          <w:bCs w:val="0"/>
          <w:sz w:val="24"/>
          <w:szCs w:val="24"/>
        </w:rPr>
        <w:t xml:space="preserve"> </w:t>
      </w:r>
      <w:r>
        <w:rPr>
          <w:rFonts w:hint="eastAsia" w:ascii="宋体" w:hAnsi="宋体" w:eastAsia="宋体" w:cs="宋体"/>
          <w:bCs w:val="0"/>
          <w:sz w:val="24"/>
          <w:szCs w:val="24"/>
        </w:rPr>
        <w:t>标</w:t>
      </w:r>
      <w:r>
        <w:rPr>
          <w:rFonts w:ascii="宋体" w:hAnsi="宋体" w:eastAsia="宋体" w:cs="宋体"/>
          <w:bCs w:val="0"/>
          <w:sz w:val="24"/>
          <w:szCs w:val="24"/>
        </w:rPr>
        <w:t xml:space="preserve"> </w:t>
      </w:r>
      <w:r>
        <w:rPr>
          <w:rFonts w:hint="eastAsia" w:ascii="宋体" w:hAnsi="宋体" w:eastAsia="宋体" w:cs="宋体"/>
          <w:bCs w:val="0"/>
          <w:sz w:val="24"/>
          <w:szCs w:val="24"/>
        </w:rPr>
        <w:t>函</w:t>
      </w:r>
      <w:bookmarkEnd w:id="529"/>
    </w:p>
    <w:p>
      <w:pPr>
        <w:adjustRightInd w:val="0"/>
        <w:snapToGrid w:val="0"/>
        <w:spacing w:line="400" w:lineRule="exact"/>
        <w:jc w:val="left"/>
        <w:rPr>
          <w:rFonts w:hint="eastAsia" w:ascii="宋体" w:cs="宋体"/>
          <w:szCs w:val="21"/>
        </w:rPr>
      </w:pPr>
      <w:r>
        <w:rPr>
          <w:rFonts w:hint="eastAsia" w:ascii="宋体" w:hAnsi="宋体" w:cs="宋体"/>
          <w:szCs w:val="21"/>
        </w:rPr>
        <w:t>致：</w:t>
      </w:r>
      <w:r>
        <w:rPr>
          <w:rFonts w:hint="eastAsia" w:ascii="宋体" w:hAnsi="宋体"/>
          <w:szCs w:val="21"/>
          <w:u w:val="single"/>
        </w:rPr>
        <w:t>中国地质工程集团有限公司</w:t>
      </w:r>
    </w:p>
    <w:p>
      <w:pPr>
        <w:spacing w:line="400" w:lineRule="exact"/>
        <w:ind w:firstLine="420" w:firstLineChars="200"/>
        <w:rPr>
          <w:rFonts w:ascii="宋体"/>
          <w:szCs w:val="21"/>
        </w:rPr>
      </w:pPr>
      <w:r>
        <w:rPr>
          <w:rFonts w:ascii="宋体" w:hAnsi="宋体"/>
          <w:szCs w:val="21"/>
          <w:u w:val="single"/>
        </w:rPr>
        <w:t xml:space="preserve">    </w:t>
      </w:r>
      <w:r>
        <w:rPr>
          <w:rFonts w:hint="eastAsia" w:ascii="宋体" w:hAnsi="宋体"/>
          <w:szCs w:val="21"/>
          <w:u w:val="single"/>
        </w:rPr>
        <w:t>（投标人名称）</w:t>
      </w:r>
      <w:r>
        <w:rPr>
          <w:rFonts w:ascii="宋体" w:hAnsi="宋体"/>
          <w:szCs w:val="21"/>
          <w:u w:val="single"/>
        </w:rPr>
        <w:t xml:space="preserve">    </w:t>
      </w:r>
      <w:r>
        <w:rPr>
          <w:rFonts w:hint="eastAsia" w:ascii="宋体" w:hAnsi="宋体"/>
          <w:szCs w:val="21"/>
        </w:rPr>
        <w:t>（以下称“我方”）已仔细研究了</w:t>
      </w:r>
      <w:r>
        <w:rPr>
          <w:rFonts w:hint="eastAsia" w:ascii="宋体" w:hAnsi="宋体"/>
          <w:szCs w:val="21"/>
          <w:u w:val="single"/>
        </w:rPr>
        <w:t xml:space="preserve">                                </w:t>
      </w:r>
      <w:r>
        <w:rPr>
          <w:rFonts w:hint="eastAsia" w:ascii="宋体" w:hAnsi="宋体" w:cs="宋体"/>
          <w:bCs/>
          <w:szCs w:val="21"/>
          <w:u w:val="single"/>
        </w:rPr>
        <w:t>S103济枣线山亭区凫城至市中区曾店段改建工程钢材采购</w:t>
      </w:r>
      <w:r>
        <w:rPr>
          <w:rFonts w:hint="eastAsia" w:ascii="宋体" w:hAnsi="宋体"/>
          <w:szCs w:val="21"/>
        </w:rPr>
        <w:t>（招标编号：</w:t>
      </w:r>
      <w:r>
        <w:rPr>
          <w:rFonts w:hint="eastAsia" w:ascii="宋体" w:hAnsi="宋体"/>
          <w:szCs w:val="21"/>
          <w:u w:val="single"/>
        </w:rPr>
        <w:t>CGC2021-JS-CL-14</w:t>
      </w:r>
      <w:r>
        <w:rPr>
          <w:rFonts w:hint="eastAsia" w:ascii="宋体" w:hAnsi="宋体"/>
          <w:szCs w:val="21"/>
        </w:rPr>
        <w:t>）招标文件的全部内容，</w:t>
      </w:r>
      <w:r>
        <w:rPr>
          <w:rFonts w:hint="eastAsia" w:ascii="宋体" w:hAnsi="宋体"/>
          <w:bCs/>
          <w:szCs w:val="21"/>
        </w:rPr>
        <w:t>包括澄清或者修改文件以及有关附件</w:t>
      </w:r>
      <w:r>
        <w:rPr>
          <w:rFonts w:hint="eastAsia" w:ascii="宋体" w:hAnsi="宋体"/>
          <w:szCs w:val="21"/>
        </w:rPr>
        <w:t>，我方将严格按照招标文件要求递交符合要求的全部投标文件。</w:t>
      </w:r>
    </w:p>
    <w:p>
      <w:pPr>
        <w:spacing w:line="400" w:lineRule="exact"/>
        <w:ind w:firstLine="420" w:firstLineChars="200"/>
        <w:rPr>
          <w:rFonts w:ascii="宋体"/>
          <w:szCs w:val="21"/>
        </w:rPr>
      </w:pPr>
      <w:r>
        <w:rPr>
          <w:rFonts w:hint="eastAsia" w:ascii="宋体" w:hAnsi="宋体"/>
          <w:szCs w:val="21"/>
        </w:rPr>
        <w:t>我方承诺如下内容：</w:t>
      </w:r>
    </w:p>
    <w:p>
      <w:pPr>
        <w:spacing w:line="400" w:lineRule="exact"/>
        <w:ind w:firstLine="420" w:firstLineChars="200"/>
        <w:rPr>
          <w:rFonts w:hint="eastAsia" w:ascii="宋体" w:hAnsi="宋体"/>
          <w:szCs w:val="21"/>
        </w:rPr>
      </w:pPr>
      <w:r>
        <w:rPr>
          <w:rFonts w:ascii="宋体" w:hAnsi="宋体"/>
          <w:szCs w:val="21"/>
        </w:rPr>
        <w:t>1.</w:t>
      </w:r>
      <w:r>
        <w:rPr>
          <w:rFonts w:hint="eastAsia" w:ascii="宋体" w:hAnsi="宋体"/>
          <w:szCs w:val="21"/>
        </w:rPr>
        <w:t>我方愿以人民币（大写）：</w:t>
      </w:r>
      <w:r>
        <w:rPr>
          <w:rFonts w:ascii="宋体" w:hAnsi="宋体"/>
          <w:szCs w:val="21"/>
          <w:u w:val="single"/>
        </w:rPr>
        <w:t xml:space="preserve">          </w:t>
      </w:r>
      <w:r>
        <w:rPr>
          <w:rFonts w:hint="eastAsia" w:ascii="宋体" w:hAnsi="宋体"/>
          <w:szCs w:val="21"/>
        </w:rPr>
        <w:t>（小写）：</w:t>
      </w:r>
      <w:r>
        <w:rPr>
          <w:rFonts w:ascii="宋体" w:hAnsi="宋体"/>
          <w:szCs w:val="21"/>
          <w:u w:val="single"/>
        </w:rPr>
        <w:t xml:space="preserve">           </w:t>
      </w:r>
      <w:r>
        <w:rPr>
          <w:rFonts w:hint="eastAsia" w:ascii="宋体" w:hAnsi="宋体"/>
          <w:szCs w:val="21"/>
        </w:rPr>
        <w:t>的价格承担本招标范围内的全部服务项目，我方承担一切风险、义务、责任等所发生的费用。</w:t>
      </w:r>
    </w:p>
    <w:p>
      <w:pPr>
        <w:spacing w:line="400" w:lineRule="exact"/>
        <w:ind w:firstLine="420" w:firstLineChars="200"/>
        <w:rPr>
          <w:rFonts w:ascii="宋体" w:hAnsi="宋体"/>
          <w:szCs w:val="21"/>
        </w:rPr>
      </w:pPr>
      <w:r>
        <w:rPr>
          <w:rFonts w:hint="eastAsia" w:ascii="宋体" w:hAnsi="宋体"/>
          <w:szCs w:val="21"/>
        </w:rPr>
        <w:t>2.我方</w:t>
      </w:r>
      <w:r>
        <w:rPr>
          <w:rFonts w:hint="eastAsia"/>
          <w:szCs w:val="21"/>
        </w:rPr>
        <w:t>服务期限为：</w:t>
      </w:r>
      <w:r>
        <w:rPr>
          <w:rFonts w:hint="eastAsia"/>
          <w:szCs w:val="21"/>
          <w:u w:val="single"/>
        </w:rPr>
        <w:t xml:space="preserve">               </w:t>
      </w:r>
      <w:r>
        <w:rPr>
          <w:rFonts w:hint="eastAsia"/>
          <w:szCs w:val="21"/>
        </w:rPr>
        <w:t>。</w:t>
      </w:r>
    </w:p>
    <w:p>
      <w:pPr>
        <w:spacing w:line="40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我方的投标文件包含第二章“投标人须知”第</w:t>
      </w:r>
      <w:r>
        <w:rPr>
          <w:rFonts w:ascii="宋体" w:hAnsi="宋体"/>
          <w:szCs w:val="21"/>
        </w:rPr>
        <w:t>3.1</w:t>
      </w:r>
      <w:r>
        <w:rPr>
          <w:rFonts w:hint="eastAsia" w:ascii="宋体" w:hAnsi="宋体"/>
          <w:szCs w:val="21"/>
        </w:rPr>
        <w:t>款规定的全部内容。</w:t>
      </w:r>
    </w:p>
    <w:p>
      <w:pPr>
        <w:spacing w:line="400" w:lineRule="exact"/>
        <w:ind w:firstLine="420" w:firstLineChars="200"/>
        <w:rPr>
          <w:rFonts w:ascii="宋体"/>
          <w:szCs w:val="21"/>
        </w:rPr>
      </w:pPr>
      <w:r>
        <w:rPr>
          <w:rFonts w:hint="eastAsia" w:ascii="宋体" w:hAnsi="宋体"/>
          <w:szCs w:val="21"/>
        </w:rPr>
        <w:t>4</w:t>
      </w:r>
      <w:r>
        <w:rPr>
          <w:rFonts w:ascii="宋体" w:hAnsi="宋体"/>
          <w:szCs w:val="21"/>
        </w:rPr>
        <w:t>.</w:t>
      </w:r>
      <w:r>
        <w:rPr>
          <w:rFonts w:hint="eastAsia" w:ascii="宋体" w:hAnsi="宋体"/>
          <w:szCs w:val="21"/>
        </w:rPr>
        <w:t>我方承诺在招标文件规定的投标有效期3</w:t>
      </w:r>
      <w:r>
        <w:rPr>
          <w:rFonts w:ascii="宋体" w:hAnsi="宋体"/>
          <w:szCs w:val="21"/>
        </w:rPr>
        <w:t>0</w:t>
      </w:r>
      <w:r>
        <w:rPr>
          <w:rFonts w:hint="eastAsia" w:ascii="宋体" w:hAnsi="宋体"/>
          <w:szCs w:val="21"/>
        </w:rPr>
        <w:t>日历天（从投标截止之日算起）内不修改、撤销投标文件。</w:t>
      </w:r>
    </w:p>
    <w:p>
      <w:pPr>
        <w:spacing w:line="400" w:lineRule="exact"/>
        <w:ind w:firstLine="420" w:firstLineChars="200"/>
        <w:rPr>
          <w:rFonts w:ascii="宋体"/>
          <w:szCs w:val="21"/>
        </w:rPr>
      </w:pPr>
      <w:r>
        <w:rPr>
          <w:rFonts w:hint="eastAsia" w:ascii="宋体" w:hAnsi="宋体"/>
          <w:szCs w:val="21"/>
        </w:rPr>
        <w:t>5</w:t>
      </w:r>
      <w:r>
        <w:rPr>
          <w:rFonts w:ascii="宋体" w:hAnsi="宋体"/>
          <w:szCs w:val="21"/>
        </w:rPr>
        <w:t>.</w:t>
      </w:r>
      <w:r>
        <w:rPr>
          <w:rFonts w:hint="eastAsia" w:ascii="宋体" w:hAnsi="宋体"/>
          <w:szCs w:val="21"/>
        </w:rPr>
        <w:t>我方在评标过程中根据评标委员会要求提供的符合相关规定的澄清文件，构成投标文件的组成部分。</w:t>
      </w:r>
    </w:p>
    <w:p>
      <w:pPr>
        <w:spacing w:line="400" w:lineRule="exact"/>
        <w:ind w:firstLine="420" w:firstLineChars="200"/>
        <w:rPr>
          <w:rFonts w:ascii="宋体"/>
          <w:szCs w:val="21"/>
        </w:rPr>
      </w:pPr>
      <w:r>
        <w:rPr>
          <w:rFonts w:hint="eastAsia" w:ascii="宋体" w:hAnsi="宋体"/>
          <w:szCs w:val="21"/>
        </w:rPr>
        <w:t>6</w:t>
      </w:r>
      <w:r>
        <w:rPr>
          <w:rFonts w:ascii="宋体" w:hAnsi="宋体"/>
          <w:szCs w:val="21"/>
        </w:rPr>
        <w:t>.</w:t>
      </w:r>
      <w:r>
        <w:rPr>
          <w:rFonts w:hint="eastAsia" w:ascii="宋体" w:hAnsi="宋体"/>
          <w:szCs w:val="21"/>
        </w:rPr>
        <w:t>我方同意提供贵方可能要求的与投标有关的一切数据或者资料，并完全理解贵方不一定接受最低价的投标。</w:t>
      </w:r>
    </w:p>
    <w:p>
      <w:pPr>
        <w:spacing w:line="400" w:lineRule="exact"/>
        <w:ind w:firstLine="420" w:firstLineChars="200"/>
        <w:rPr>
          <w:rFonts w:ascii="宋体"/>
          <w:szCs w:val="21"/>
        </w:rPr>
      </w:pPr>
      <w:r>
        <w:rPr>
          <w:rFonts w:hint="eastAsia" w:ascii="宋体" w:hAnsi="宋体"/>
          <w:szCs w:val="21"/>
        </w:rPr>
        <w:t>7</w:t>
      </w:r>
      <w:r>
        <w:rPr>
          <w:rFonts w:ascii="宋体" w:hAnsi="宋体"/>
          <w:szCs w:val="21"/>
        </w:rPr>
        <w:t>.</w:t>
      </w:r>
      <w:r>
        <w:rPr>
          <w:rFonts w:hint="eastAsia" w:ascii="宋体" w:hAnsi="宋体"/>
          <w:szCs w:val="21"/>
        </w:rPr>
        <w:t>我方承诺不向第三方透露与招标相关的所有信息。</w:t>
      </w:r>
    </w:p>
    <w:p>
      <w:pPr>
        <w:spacing w:line="400" w:lineRule="exact"/>
        <w:ind w:firstLine="420" w:firstLineChars="200"/>
        <w:rPr>
          <w:rFonts w:ascii="宋体"/>
          <w:szCs w:val="21"/>
        </w:rPr>
      </w:pPr>
      <w:r>
        <w:rPr>
          <w:rFonts w:hint="eastAsia" w:ascii="宋体" w:hAnsi="宋体"/>
          <w:szCs w:val="21"/>
        </w:rPr>
        <w:t>8</w:t>
      </w:r>
      <w:r>
        <w:rPr>
          <w:rFonts w:ascii="宋体" w:hAnsi="宋体"/>
          <w:szCs w:val="21"/>
        </w:rPr>
        <w:t>.</w:t>
      </w:r>
      <w:r>
        <w:rPr>
          <w:rFonts w:hint="eastAsia" w:ascii="宋体" w:hAnsi="宋体"/>
          <w:szCs w:val="21"/>
        </w:rPr>
        <w:t>如我方中标：</w:t>
      </w:r>
    </w:p>
    <w:p>
      <w:pPr>
        <w:spacing w:line="40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）我方承诺在收到中标通知书后，在中标通知书规定的期限内与你方签订合同。</w:t>
      </w:r>
    </w:p>
    <w:p>
      <w:pPr>
        <w:spacing w:line="40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）按照招标文件的规定及合同约定履行相关责任和义务。</w:t>
      </w:r>
    </w:p>
    <w:p>
      <w:pPr>
        <w:spacing w:line="400" w:lineRule="exact"/>
        <w:ind w:firstLine="420" w:firstLineChars="200"/>
        <w:rPr>
          <w:rFonts w:ascii="宋体"/>
          <w:szCs w:val="21"/>
        </w:rPr>
      </w:pPr>
      <w:r>
        <w:rPr>
          <w:rFonts w:hint="eastAsia" w:ascii="宋体" w:hAnsi="宋体"/>
          <w:szCs w:val="21"/>
        </w:rPr>
        <w:t>我方在此声明，所递交的投标文件及有关资料内容完整、真实和准确，且不存在第二章“投标人须知”第</w:t>
      </w:r>
      <w:r>
        <w:rPr>
          <w:rFonts w:ascii="宋体" w:hAnsi="宋体"/>
          <w:szCs w:val="21"/>
        </w:rPr>
        <w:t>1.8</w:t>
      </w:r>
      <w:r>
        <w:rPr>
          <w:rFonts w:hint="eastAsia" w:ascii="宋体" w:hAnsi="宋体"/>
          <w:szCs w:val="21"/>
        </w:rPr>
        <w:t>款规定的任何一种情形。如有弄虚作假，将承担相应的法律责任，并赔偿由此造成的一切损失。</w:t>
      </w:r>
    </w:p>
    <w:p>
      <w:pPr>
        <w:spacing w:line="400" w:lineRule="exact"/>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投标人名称：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（盖单位公章）</w:t>
      </w:r>
    </w:p>
    <w:p>
      <w:pPr>
        <w:spacing w:line="400" w:lineRule="exact"/>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法定代表人或者授权委托人：</w:t>
      </w:r>
      <w:r>
        <w:rPr>
          <w:rFonts w:ascii="宋体" w:hAnsi="宋体"/>
          <w:szCs w:val="21"/>
          <w:u w:val="single"/>
        </w:rPr>
        <w:t xml:space="preserve">         </w:t>
      </w:r>
      <w:r>
        <w:rPr>
          <w:rFonts w:hint="eastAsia" w:ascii="宋体" w:hAnsi="宋体"/>
          <w:szCs w:val="21"/>
        </w:rPr>
        <w:t>（签字或盖章）</w:t>
      </w:r>
    </w:p>
    <w:p>
      <w:pPr>
        <w:spacing w:line="400" w:lineRule="exact"/>
        <w:rPr>
          <w:rFonts w:ascii="宋体"/>
          <w:szCs w:val="21"/>
          <w:u w:val="single"/>
        </w:rPr>
      </w:pPr>
      <w:r>
        <w:rPr>
          <w:rFonts w:ascii="宋体" w:hAnsi="宋体"/>
          <w:szCs w:val="21"/>
        </w:rPr>
        <w:t xml:space="preserve">                             </w:t>
      </w:r>
      <w:r>
        <w:rPr>
          <w:rFonts w:hint="eastAsia" w:ascii="宋体" w:hAnsi="宋体"/>
          <w:szCs w:val="21"/>
        </w:rPr>
        <w:t xml:space="preserve"> 地址：</w:t>
      </w:r>
      <w:r>
        <w:rPr>
          <w:rFonts w:ascii="宋体" w:hAnsi="宋体"/>
          <w:szCs w:val="21"/>
          <w:u w:val="single"/>
        </w:rPr>
        <w:t xml:space="preserve">                                     </w:t>
      </w:r>
    </w:p>
    <w:p>
      <w:pPr>
        <w:spacing w:line="400" w:lineRule="exact"/>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邮政编码：</w:t>
      </w:r>
      <w:r>
        <w:rPr>
          <w:rFonts w:ascii="宋体" w:hAnsi="宋体"/>
          <w:szCs w:val="21"/>
          <w:u w:val="single"/>
        </w:rPr>
        <w:t xml:space="preserve">                                 </w:t>
      </w:r>
    </w:p>
    <w:p>
      <w:pPr>
        <w:spacing w:line="400" w:lineRule="exact"/>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电话：</w:t>
      </w:r>
      <w:r>
        <w:rPr>
          <w:rFonts w:ascii="宋体" w:hAnsi="宋体"/>
          <w:szCs w:val="21"/>
          <w:u w:val="single"/>
        </w:rPr>
        <w:t xml:space="preserve">                                     </w:t>
      </w:r>
    </w:p>
    <w:p>
      <w:pPr>
        <w:spacing w:line="400" w:lineRule="exact"/>
        <w:rPr>
          <w:rFonts w:ascii="宋体"/>
          <w:szCs w:val="21"/>
        </w:rPr>
      </w:pPr>
      <w:r>
        <w:rPr>
          <w:rFonts w:ascii="宋体" w:hAnsi="宋体"/>
          <w:szCs w:val="21"/>
        </w:rPr>
        <w:t xml:space="preserve">                              </w:t>
      </w:r>
      <w:r>
        <w:rPr>
          <w:rFonts w:hint="eastAsia" w:ascii="宋体" w:hAnsi="宋体"/>
          <w:szCs w:val="21"/>
        </w:rPr>
        <w:t>传真：</w:t>
      </w:r>
      <w:r>
        <w:rPr>
          <w:rFonts w:ascii="宋体" w:hAnsi="宋体"/>
          <w:szCs w:val="21"/>
          <w:u w:val="single"/>
        </w:rPr>
        <w:t xml:space="preserve">                                     </w:t>
      </w:r>
    </w:p>
    <w:p>
      <w:pPr>
        <w:spacing w:line="400" w:lineRule="exact"/>
        <w:rPr>
          <w:rFonts w:ascii="宋体"/>
          <w:szCs w:val="21"/>
        </w:rPr>
      </w:pPr>
      <w:r>
        <w:rPr>
          <w:rFonts w:ascii="宋体" w:hAnsi="宋体"/>
          <w:szCs w:val="21"/>
        </w:rPr>
        <w:t xml:space="preserve">                              </w:t>
      </w:r>
      <w:r>
        <w:rPr>
          <w:rFonts w:hint="eastAsia" w:ascii="宋体" w:hAnsi="宋体"/>
          <w:szCs w:val="21"/>
        </w:rPr>
        <w:t>电子邮箱：</w:t>
      </w:r>
      <w:r>
        <w:rPr>
          <w:rFonts w:ascii="宋体" w:hAnsi="宋体"/>
          <w:szCs w:val="21"/>
          <w:u w:val="single"/>
        </w:rPr>
        <w:t xml:space="preserve">                                 </w:t>
      </w:r>
    </w:p>
    <w:p>
      <w:pPr>
        <w:spacing w:line="400" w:lineRule="exact"/>
        <w:rPr>
          <w:rFonts w:hint="eastAsia"/>
        </w:rPr>
      </w:pPr>
      <w: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spacing w:line="400" w:lineRule="exact"/>
        <w:rPr>
          <w:rFonts w:hint="eastAsia"/>
        </w:rPr>
      </w:pPr>
    </w:p>
    <w:p>
      <w:pPr>
        <w:pStyle w:val="4"/>
        <w:snapToGrid w:val="0"/>
        <w:spacing w:before="240" w:after="120" w:line="240" w:lineRule="auto"/>
        <w:jc w:val="center"/>
        <w:rPr>
          <w:rFonts w:ascii="宋体" w:hAnsi="宋体" w:eastAsia="宋体" w:cs="宋体"/>
          <w:bCs w:val="0"/>
          <w:sz w:val="24"/>
          <w:szCs w:val="24"/>
        </w:rPr>
      </w:pPr>
      <w:bookmarkStart w:id="530" w:name="_Toc19420"/>
      <w:r>
        <w:rPr>
          <w:rFonts w:hint="eastAsia" w:ascii="宋体" w:hAnsi="宋体" w:eastAsia="宋体" w:cs="宋体"/>
          <w:bCs w:val="0"/>
          <w:sz w:val="24"/>
          <w:szCs w:val="24"/>
        </w:rPr>
        <w:t>二、法定代表人身份证明</w:t>
      </w:r>
      <w:bookmarkEnd w:id="530"/>
    </w:p>
    <w:p>
      <w:pPr>
        <w:spacing w:line="440" w:lineRule="exact"/>
        <w:rPr>
          <w:rFonts w:ascii="宋体"/>
          <w:szCs w:val="21"/>
        </w:rPr>
      </w:pPr>
    </w:p>
    <w:p>
      <w:pPr>
        <w:topLinePunct/>
        <w:snapToGrid w:val="0"/>
        <w:spacing w:line="440" w:lineRule="exact"/>
        <w:rPr>
          <w:rFonts w:ascii="宋体" w:hAnsi="宋体"/>
          <w:bCs/>
          <w:szCs w:val="21"/>
          <w:u w:val="single"/>
        </w:rPr>
      </w:pPr>
      <w:r>
        <w:rPr>
          <w:rFonts w:hint="eastAsia" w:ascii="宋体" w:hAnsi="宋体"/>
          <w:bCs/>
          <w:szCs w:val="21"/>
        </w:rPr>
        <w:t>投标人名称：</w:t>
      </w:r>
      <w:r>
        <w:rPr>
          <w:rFonts w:ascii="宋体" w:hAnsi="宋体"/>
          <w:bCs/>
          <w:szCs w:val="21"/>
          <w:u w:val="single"/>
        </w:rPr>
        <w:t xml:space="preserve">                         </w:t>
      </w:r>
    </w:p>
    <w:p>
      <w:pPr>
        <w:topLinePunct/>
        <w:snapToGrid w:val="0"/>
        <w:spacing w:line="440" w:lineRule="exact"/>
        <w:rPr>
          <w:rFonts w:ascii="宋体"/>
          <w:bCs/>
          <w:szCs w:val="21"/>
        </w:rPr>
      </w:pPr>
      <w:r>
        <w:rPr>
          <w:rFonts w:hint="eastAsia" w:ascii="宋体" w:hAnsi="宋体"/>
          <w:bCs/>
          <w:szCs w:val="21"/>
        </w:rPr>
        <w:t>单位性质：</w:t>
      </w:r>
      <w:r>
        <w:rPr>
          <w:rFonts w:ascii="宋体" w:hAnsi="宋体"/>
          <w:bCs/>
          <w:szCs w:val="21"/>
          <w:u w:val="single"/>
        </w:rPr>
        <w:t xml:space="preserve">                           </w:t>
      </w:r>
    </w:p>
    <w:p>
      <w:pPr>
        <w:topLinePunct/>
        <w:snapToGrid w:val="0"/>
        <w:spacing w:line="440" w:lineRule="exact"/>
        <w:rPr>
          <w:rFonts w:ascii="宋体"/>
          <w:bCs/>
          <w:szCs w:val="21"/>
        </w:rPr>
      </w:pPr>
      <w:r>
        <w:rPr>
          <w:rFonts w:hint="eastAsia" w:ascii="宋体" w:hAnsi="宋体"/>
          <w:bCs/>
          <w:szCs w:val="21"/>
        </w:rPr>
        <w:t>成立时间：</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rPr>
        <w:t>日</w:t>
      </w:r>
    </w:p>
    <w:p>
      <w:pPr>
        <w:topLinePunct/>
        <w:snapToGrid w:val="0"/>
        <w:spacing w:line="440" w:lineRule="exact"/>
        <w:rPr>
          <w:rFonts w:ascii="宋体"/>
          <w:bCs/>
          <w:szCs w:val="21"/>
        </w:rPr>
      </w:pPr>
      <w:r>
        <w:rPr>
          <w:rFonts w:hint="eastAsia" w:ascii="宋体" w:hAnsi="宋体"/>
          <w:bCs/>
          <w:szCs w:val="21"/>
        </w:rPr>
        <w:t>经营期限：</w:t>
      </w:r>
      <w:r>
        <w:rPr>
          <w:rFonts w:ascii="宋体" w:hAnsi="宋体"/>
          <w:bCs/>
          <w:szCs w:val="21"/>
          <w:u w:val="single"/>
        </w:rPr>
        <w:t xml:space="preserve">            </w:t>
      </w:r>
    </w:p>
    <w:p>
      <w:pPr>
        <w:topLinePunct/>
        <w:snapToGrid w:val="0"/>
        <w:spacing w:line="440" w:lineRule="exact"/>
        <w:rPr>
          <w:rFonts w:ascii="宋体"/>
          <w:bCs/>
          <w:szCs w:val="21"/>
          <w:u w:val="single"/>
        </w:rPr>
      </w:pPr>
      <w:r>
        <w:rPr>
          <w:rFonts w:hint="eastAsia" w:ascii="宋体" w:hAnsi="宋体"/>
          <w:bCs/>
          <w:szCs w:val="21"/>
        </w:rPr>
        <w:t>姓名：</w:t>
      </w:r>
      <w:r>
        <w:rPr>
          <w:rFonts w:ascii="宋体" w:hAnsi="宋体"/>
          <w:bCs/>
          <w:szCs w:val="21"/>
          <w:u w:val="single"/>
        </w:rPr>
        <w:t xml:space="preserve">         </w:t>
      </w:r>
      <w:r>
        <w:rPr>
          <w:rFonts w:hint="eastAsia" w:ascii="宋体" w:hAnsi="宋体"/>
          <w:bCs/>
          <w:szCs w:val="21"/>
        </w:rPr>
        <w:t>性别：</w:t>
      </w:r>
      <w:r>
        <w:rPr>
          <w:rFonts w:ascii="宋体" w:hAnsi="宋体"/>
          <w:bCs/>
          <w:szCs w:val="21"/>
          <w:u w:val="single"/>
        </w:rPr>
        <w:t xml:space="preserve">          </w:t>
      </w:r>
      <w:r>
        <w:rPr>
          <w:rFonts w:hint="eastAsia" w:ascii="宋体" w:hAnsi="宋体"/>
          <w:bCs/>
          <w:szCs w:val="21"/>
        </w:rPr>
        <w:t>年龄：</w:t>
      </w:r>
      <w:r>
        <w:rPr>
          <w:rFonts w:ascii="宋体" w:hAnsi="宋体"/>
          <w:bCs/>
          <w:szCs w:val="21"/>
          <w:u w:val="single"/>
        </w:rPr>
        <w:t xml:space="preserve">         </w:t>
      </w:r>
      <w:r>
        <w:rPr>
          <w:rFonts w:hint="eastAsia" w:ascii="宋体" w:hAnsi="宋体"/>
          <w:bCs/>
          <w:szCs w:val="21"/>
        </w:rPr>
        <w:t>职务：</w:t>
      </w:r>
      <w:r>
        <w:rPr>
          <w:rFonts w:ascii="宋体" w:hAnsi="宋体"/>
          <w:bCs/>
          <w:szCs w:val="21"/>
          <w:u w:val="single"/>
        </w:rPr>
        <w:t xml:space="preserve">         </w:t>
      </w:r>
    </w:p>
    <w:p>
      <w:pPr>
        <w:topLinePunct/>
        <w:snapToGrid w:val="0"/>
        <w:spacing w:line="440" w:lineRule="exact"/>
        <w:rPr>
          <w:rFonts w:ascii="宋体"/>
          <w:bCs/>
          <w:szCs w:val="21"/>
        </w:rPr>
      </w:pPr>
      <w:r>
        <w:rPr>
          <w:rFonts w:hint="eastAsia" w:ascii="宋体" w:hAnsi="宋体"/>
          <w:bCs/>
          <w:szCs w:val="21"/>
        </w:rPr>
        <w:t>系</w:t>
      </w:r>
      <w:r>
        <w:rPr>
          <w:rFonts w:ascii="宋体" w:hAnsi="宋体"/>
          <w:bCs/>
          <w:szCs w:val="21"/>
          <w:u w:val="single"/>
        </w:rPr>
        <w:t xml:space="preserve">                   </w:t>
      </w:r>
      <w:r>
        <w:rPr>
          <w:rFonts w:hint="eastAsia" w:ascii="宋体" w:hAnsi="宋体"/>
          <w:bCs/>
          <w:szCs w:val="21"/>
        </w:rPr>
        <w:t>（投标人名称）的法定代表人。</w:t>
      </w:r>
    </w:p>
    <w:p>
      <w:pPr>
        <w:topLinePunct/>
        <w:snapToGrid w:val="0"/>
        <w:spacing w:line="440" w:lineRule="exact"/>
        <w:ind w:firstLine="420" w:firstLineChars="200"/>
        <w:rPr>
          <w:rFonts w:ascii="宋体"/>
          <w:bCs/>
          <w:szCs w:val="21"/>
        </w:rPr>
      </w:pPr>
      <w:r>
        <w:rPr>
          <w:rFonts w:hint="eastAsia" w:ascii="宋体" w:hAnsi="宋体"/>
          <w:bCs/>
          <w:szCs w:val="21"/>
        </w:rPr>
        <w:t>特此证明。</w:t>
      </w:r>
    </w:p>
    <w:p>
      <w:pPr>
        <w:topLinePunct/>
        <w:snapToGrid w:val="0"/>
        <w:spacing w:line="440" w:lineRule="exact"/>
        <w:ind w:firstLine="420" w:firstLineChars="200"/>
        <w:rPr>
          <w:rFonts w:ascii="宋体"/>
          <w:bCs/>
          <w:szCs w:val="21"/>
        </w:rPr>
      </w:pPr>
    </w:p>
    <w:p>
      <w:pPr>
        <w:topLinePunct/>
        <w:snapToGrid w:val="0"/>
        <w:spacing w:line="440" w:lineRule="exact"/>
        <w:rPr>
          <w:rFonts w:ascii="宋体"/>
        </w:rPr>
      </w:pPr>
      <w:r>
        <w:rPr>
          <w:rFonts w:hint="eastAsia" w:ascii="宋体" w:hAnsi="宋体"/>
        </w:rPr>
        <w:t>附：法定代表人身份证复印件</w:t>
      </w:r>
    </w:p>
    <w:p>
      <w:pPr>
        <w:spacing w:line="500" w:lineRule="exact"/>
        <w:rPr>
          <w:rFonts w:ascii="宋体"/>
          <w:szCs w:val="21"/>
        </w:rPr>
      </w:pPr>
      <w: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法定代表人身份证国徽面</w:t>
                            </w:r>
                          </w:p>
                        </w:txbxContent>
                      </wps:txbx>
                      <wps:bodyPr wrap="square" upright="1"/>
                    </wps:wsp>
                  </a:graphicData>
                </a:graphic>
              </wp:anchor>
            </w:drawing>
          </mc:Choice>
          <mc:Fallback>
            <w:pict>
              <v:shape id="流程图: 可选过程 4" o:spid="_x0000_s1026" o:spt="176" type="#_x0000_t176" style="position:absolute;left:0pt;margin-left:208.3pt;margin-top:18.8pt;height:166.45pt;width:259.65pt;z-index:251661312;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AAiX42AAAAAoBAAAPAAAAAAAAAAEAIAAAACIAAABkcnMvZG93bnJldi54&#10;bWxQSwECFAAUAAAACACHTuJAcFYdhjMCAABeBAAADgAAAAAAAAABACAAAAAnAQAAZHJzL2Uyb0Rv&#10;Yy54bWxQSwUGAAAAAAYABgBZAQAAzAUAAAAA&#10;">
                <v:fill on="t" focussize="0,0"/>
                <v:stroke color="#000000" joinstyle="miter"/>
                <v:imagedata o:title=""/>
                <o:lock v:ext="edit" aspectratio="f"/>
                <v:textbox>
                  <w:txbxContent>
                    <w:p>
                      <w:pPr>
                        <w:jc w:val="center"/>
                        <w:rPr>
                          <w:szCs w:val="21"/>
                        </w:rPr>
                      </w:pPr>
                      <w:r>
                        <w:rPr>
                          <w:rFonts w:hint="eastAsia"/>
                          <w:szCs w:val="21"/>
                        </w:rPr>
                        <w:t>法定代表人身份证国徽面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3"/>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法定代表人身份证人像面</w:t>
                            </w:r>
                          </w:p>
                        </w:txbxContent>
                      </wps:txbx>
                      <wps:bodyPr wrap="square" upright="1"/>
                    </wps:wsp>
                  </a:graphicData>
                </a:graphic>
              </wp:anchor>
            </w:drawing>
          </mc:Choice>
          <mc:Fallback>
            <w:pict>
              <v:shape id="流程图: 可选过程 3"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Aglc2QAAAAsBAAAPAAAAAAAAAAEAIAAAACIAAABkcnMvZG93bnJldi54&#10;bWxQSwECFAAUAAAACACHTuJACFkrzTICAABeBAAADgAAAAAAAAABACAAAAAoAQAAZHJzL2Uyb0Rv&#10;Yy54bWxQSwUGAAAAAAYABgBZAQAAzAUAAAAA&#10;">
                <v:fill on="t" focussize="0,0"/>
                <v:stroke color="#000000" joinstyle="miter"/>
                <v:imagedata o:title=""/>
                <o:lock v:ext="edit" aspectratio="f"/>
                <v:textbox>
                  <w:txbxContent>
                    <w:p>
                      <w:pPr>
                        <w:jc w:val="center"/>
                        <w:rPr>
                          <w:szCs w:val="21"/>
                        </w:rPr>
                      </w:pPr>
                      <w:r>
                        <w:rPr>
                          <w:rFonts w:hint="eastAsia"/>
                          <w:szCs w:val="21"/>
                        </w:rPr>
                        <w:t>法定代表人身份证人像面</w:t>
                      </w:r>
                    </w:p>
                  </w:txbxContent>
                </v:textbox>
              </v:shape>
            </w:pict>
          </mc:Fallback>
        </mc:AlternateContent>
      </w:r>
    </w:p>
    <w:p>
      <w:pPr>
        <w:spacing w:line="500" w:lineRule="exact"/>
        <w:rPr>
          <w:rFonts w:ascii="宋体"/>
          <w:szCs w:val="21"/>
        </w:rPr>
      </w:pPr>
    </w:p>
    <w:p>
      <w:pPr>
        <w:spacing w:line="440" w:lineRule="exact"/>
        <w:rPr>
          <w:rFonts w:ascii="宋体"/>
          <w:szCs w:val="21"/>
        </w:rPr>
      </w:pPr>
    </w:p>
    <w:p>
      <w:pPr>
        <w:spacing w:line="440" w:lineRule="exact"/>
        <w:rPr>
          <w:rFonts w:ascii="宋体" w:hAnsi="宋体"/>
          <w:szCs w:val="21"/>
        </w:rPr>
      </w:pPr>
      <w:r>
        <w:rPr>
          <w:rFonts w:ascii="宋体" w:hAnsi="宋体"/>
          <w:szCs w:val="21"/>
        </w:rPr>
        <w:t xml:space="preserve">                          </w:t>
      </w:r>
    </w:p>
    <w:p>
      <w:pPr>
        <w:spacing w:line="500" w:lineRule="exact"/>
        <w:rPr>
          <w:rFonts w:ascii="宋体"/>
          <w:szCs w:val="21"/>
        </w:rPr>
      </w:pPr>
    </w:p>
    <w:p>
      <w:pPr>
        <w:spacing w:line="44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hAnsi="宋体"/>
          <w:szCs w:val="21"/>
        </w:rPr>
      </w:pPr>
      <w:r>
        <w:rPr>
          <w:rFonts w:ascii="宋体" w:hAnsi="宋体"/>
          <w:szCs w:val="21"/>
        </w:rPr>
        <w:t xml:space="preserve">                          </w:t>
      </w:r>
    </w:p>
    <w:p>
      <w:pPr>
        <w:spacing w:line="440" w:lineRule="exact"/>
        <w:rPr>
          <w:rFonts w:ascii="宋体" w:hAnsi="宋体"/>
          <w:szCs w:val="21"/>
        </w:rPr>
      </w:pPr>
    </w:p>
    <w:p>
      <w:pPr>
        <w:spacing w:line="440" w:lineRule="exact"/>
        <w:ind w:firstLine="4305" w:firstLineChars="2050"/>
        <w:rPr>
          <w:rFonts w:ascii="宋体"/>
          <w:szCs w:val="21"/>
        </w:rPr>
      </w:pPr>
    </w:p>
    <w:p>
      <w:pPr>
        <w:spacing w:line="440" w:lineRule="exact"/>
        <w:ind w:firstLine="4305" w:firstLineChars="2050"/>
        <w:rPr>
          <w:rFonts w:ascii="宋体"/>
          <w:szCs w:val="21"/>
        </w:rPr>
      </w:pPr>
      <w:r>
        <w:rPr>
          <w:rFonts w:hint="eastAsia" w:ascii="宋体" w:hAnsi="宋体"/>
          <w:szCs w:val="21"/>
        </w:rPr>
        <w:t>投标人名称：</w:t>
      </w:r>
      <w:r>
        <w:rPr>
          <w:rFonts w:ascii="宋体" w:hAnsi="宋体"/>
          <w:szCs w:val="21"/>
          <w:u w:val="single"/>
        </w:rPr>
        <w:t xml:space="preserve">               </w:t>
      </w:r>
      <w:r>
        <w:rPr>
          <w:rFonts w:hint="eastAsia" w:ascii="宋体" w:hAnsi="宋体"/>
          <w:szCs w:val="21"/>
        </w:rPr>
        <w:t>（盖单位公章）</w:t>
      </w:r>
    </w:p>
    <w:p>
      <w:pPr>
        <w:spacing w:line="440" w:lineRule="exact"/>
        <w:ind w:firstLine="4305" w:firstLineChars="2050"/>
        <w:rPr>
          <w:rFonts w:ascii="宋体"/>
          <w:szCs w:val="21"/>
        </w:rPr>
      </w:pPr>
    </w:p>
    <w:p>
      <w:pPr>
        <w:spacing w:line="440" w:lineRule="exact"/>
        <w:rPr>
          <w:rFonts w:ascii="宋体" w:hAnsi="宋体"/>
          <w:szCs w:val="21"/>
        </w:rPr>
      </w:pPr>
      <w:r>
        <w:rPr>
          <w:rFonts w:ascii="宋体" w:hAnsi="宋体"/>
          <w:szCs w:val="21"/>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rPr>
        <w:t xml:space="preserve"> </w:t>
      </w: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pStyle w:val="4"/>
        <w:snapToGrid w:val="0"/>
        <w:spacing w:before="240" w:after="120" w:line="240" w:lineRule="auto"/>
        <w:jc w:val="center"/>
        <w:rPr>
          <w:rFonts w:ascii="宋体" w:hAnsi="宋体" w:eastAsia="宋体" w:cs="宋体"/>
          <w:bCs w:val="0"/>
          <w:sz w:val="24"/>
          <w:szCs w:val="24"/>
        </w:rPr>
      </w:pPr>
      <w:bookmarkStart w:id="531" w:name="_Toc6694"/>
      <w:r>
        <w:rPr>
          <w:rFonts w:hint="eastAsia" w:ascii="宋体" w:hAnsi="宋体" w:eastAsia="宋体" w:cs="宋体"/>
          <w:bCs w:val="0"/>
          <w:sz w:val="24"/>
          <w:szCs w:val="24"/>
        </w:rPr>
        <w:t>三、法定代表人授权委托书</w:t>
      </w:r>
      <w:bookmarkEnd w:id="531"/>
    </w:p>
    <w:p>
      <w:pPr>
        <w:jc w:val="center"/>
        <w:rPr>
          <w:rFonts w:ascii="宋体" w:cs="宋体"/>
          <w:b/>
          <w:sz w:val="24"/>
        </w:rPr>
      </w:pPr>
    </w:p>
    <w:p>
      <w:pPr>
        <w:topLinePunct/>
        <w:snapToGrid w:val="0"/>
        <w:spacing w:line="440" w:lineRule="exact"/>
        <w:ind w:firstLine="420" w:firstLineChars="200"/>
        <w:rPr>
          <w:rFonts w:ascii="宋体"/>
          <w:bCs/>
          <w:szCs w:val="21"/>
        </w:rPr>
      </w:pPr>
      <w:r>
        <w:rPr>
          <w:rFonts w:hint="eastAsia" w:ascii="宋体" w:hAnsi="宋体"/>
          <w:bCs/>
          <w:szCs w:val="21"/>
        </w:rPr>
        <w:t>本人</w:t>
      </w:r>
      <w:r>
        <w:rPr>
          <w:rFonts w:ascii="宋体" w:hAnsi="宋体"/>
          <w:bCs/>
          <w:szCs w:val="21"/>
          <w:u w:val="single"/>
        </w:rPr>
        <w:t xml:space="preserve">   </w:t>
      </w:r>
      <w:r>
        <w:rPr>
          <w:rFonts w:hint="eastAsia" w:ascii="宋体" w:hAnsi="宋体"/>
          <w:bCs/>
          <w:szCs w:val="21"/>
          <w:u w:val="single"/>
        </w:rPr>
        <w:t>（姓名）</w:t>
      </w:r>
      <w:r>
        <w:rPr>
          <w:rFonts w:ascii="宋体" w:hAnsi="宋体"/>
          <w:bCs/>
          <w:szCs w:val="21"/>
          <w:u w:val="single"/>
        </w:rPr>
        <w:t xml:space="preserve">    </w:t>
      </w:r>
      <w:r>
        <w:rPr>
          <w:rFonts w:hint="eastAsia" w:ascii="宋体" w:hAnsi="宋体"/>
          <w:bCs/>
          <w:szCs w:val="21"/>
        </w:rPr>
        <w:t>系</w:t>
      </w:r>
      <w:r>
        <w:rPr>
          <w:rFonts w:ascii="宋体" w:hAnsi="宋体"/>
          <w:bCs/>
          <w:szCs w:val="21"/>
        </w:rPr>
        <w:t xml:space="preserve"> </w:t>
      </w:r>
      <w:r>
        <w:rPr>
          <w:rFonts w:ascii="宋体" w:hAnsi="宋体"/>
          <w:bCs/>
          <w:szCs w:val="21"/>
          <w:u w:val="single"/>
        </w:rPr>
        <w:t xml:space="preserve">    </w:t>
      </w:r>
      <w:r>
        <w:rPr>
          <w:rFonts w:hint="eastAsia" w:ascii="宋体" w:hAnsi="宋体"/>
          <w:bCs/>
          <w:szCs w:val="21"/>
          <w:u w:val="single"/>
        </w:rPr>
        <w:t>（投标人名称）</w:t>
      </w:r>
      <w:r>
        <w:rPr>
          <w:rFonts w:ascii="宋体" w:hAnsi="宋体"/>
          <w:bCs/>
          <w:szCs w:val="21"/>
          <w:u w:val="single"/>
        </w:rPr>
        <w:t xml:space="preserve">   </w:t>
      </w:r>
      <w:r>
        <w:rPr>
          <w:rFonts w:hint="eastAsia" w:ascii="宋体" w:hAnsi="宋体"/>
          <w:bCs/>
          <w:szCs w:val="21"/>
        </w:rPr>
        <w:t>的法定代表人，现委托</w:t>
      </w:r>
      <w:r>
        <w:rPr>
          <w:rFonts w:ascii="宋体" w:hAnsi="宋体"/>
          <w:bCs/>
          <w:szCs w:val="21"/>
          <w:u w:val="single"/>
        </w:rPr>
        <w:t xml:space="preserve">  </w:t>
      </w:r>
      <w:r>
        <w:rPr>
          <w:rFonts w:hint="eastAsia" w:ascii="宋体" w:hAnsi="宋体"/>
          <w:bCs/>
          <w:szCs w:val="21"/>
          <w:u w:val="single"/>
        </w:rPr>
        <w:t>（姓名）</w:t>
      </w:r>
      <w:r>
        <w:rPr>
          <w:rFonts w:ascii="宋体" w:hAnsi="宋体"/>
          <w:bCs/>
          <w:szCs w:val="21"/>
          <w:u w:val="single"/>
        </w:rPr>
        <w:t xml:space="preserve">   </w:t>
      </w:r>
      <w:r>
        <w:rPr>
          <w:rFonts w:hint="eastAsia" w:ascii="宋体" w:hAnsi="宋体"/>
          <w:bCs/>
          <w:szCs w:val="21"/>
        </w:rPr>
        <w:t>为我方代理人。代理人根据授权，以我方名义全权处理</w:t>
      </w:r>
      <w:r>
        <w:rPr>
          <w:rFonts w:hint="eastAsia" w:ascii="宋体" w:hAnsi="宋体" w:cs="宋体"/>
          <w:bCs/>
          <w:szCs w:val="21"/>
          <w:u w:val="single"/>
        </w:rPr>
        <w:t>S103济枣线山亭区凫城至市中区曾店段改建工程钢材采购</w:t>
      </w:r>
      <w:r>
        <w:rPr>
          <w:rFonts w:hint="eastAsia" w:ascii="宋体" w:hAnsi="宋体"/>
          <w:bCs/>
          <w:szCs w:val="21"/>
          <w:u w:val="single"/>
        </w:rPr>
        <w:t>（签署、澄清、说明、补正、递交、撤回、修改投标文件，签订合同和处理一切有关事宜）</w:t>
      </w:r>
      <w:r>
        <w:rPr>
          <w:rFonts w:hint="eastAsia" w:ascii="宋体" w:hAnsi="宋体"/>
          <w:bCs/>
          <w:szCs w:val="21"/>
        </w:rPr>
        <w:t>，其法律后果由我方承担。</w:t>
      </w:r>
    </w:p>
    <w:p>
      <w:pPr>
        <w:topLinePunct/>
        <w:snapToGrid w:val="0"/>
        <w:spacing w:line="440" w:lineRule="exact"/>
        <w:ind w:firstLine="420" w:firstLineChars="200"/>
        <w:rPr>
          <w:rFonts w:ascii="宋体"/>
          <w:bCs/>
          <w:szCs w:val="21"/>
        </w:rPr>
      </w:pPr>
      <w:r>
        <w:rPr>
          <w:rFonts w:hint="eastAsia" w:ascii="宋体" w:hAnsi="宋体"/>
          <w:bCs/>
          <w:szCs w:val="21"/>
        </w:rPr>
        <w:t>委托期限：</w:t>
      </w:r>
      <w:r>
        <w:rPr>
          <w:rFonts w:hint="eastAsia" w:ascii="宋体" w:hAnsi="宋体"/>
          <w:bCs/>
          <w:szCs w:val="21"/>
          <w:u w:val="single"/>
        </w:rPr>
        <w:t>自签署本委托书之日起</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日</w:t>
      </w:r>
      <w:r>
        <w:rPr>
          <w:rFonts w:hint="eastAsia" w:ascii="宋体" w:hAnsi="宋体"/>
          <w:bCs/>
          <w:szCs w:val="21"/>
        </w:rPr>
        <w:t>。</w:t>
      </w:r>
    </w:p>
    <w:p>
      <w:pPr>
        <w:topLinePunct/>
        <w:snapToGrid w:val="0"/>
        <w:spacing w:line="440" w:lineRule="exact"/>
        <w:ind w:firstLine="420" w:firstLineChars="200"/>
        <w:rPr>
          <w:rFonts w:ascii="宋体"/>
          <w:bCs/>
          <w:szCs w:val="21"/>
        </w:rPr>
      </w:pPr>
      <w:r>
        <w:rPr>
          <w:rFonts w:hint="eastAsia" w:ascii="宋体" w:hAnsi="宋体"/>
          <w:bCs/>
          <w:szCs w:val="21"/>
        </w:rPr>
        <w:t>代理人无转委托权。</w:t>
      </w:r>
    </w:p>
    <w:p>
      <w:pPr>
        <w:topLinePunct/>
        <w:snapToGrid w:val="0"/>
        <w:spacing w:line="440" w:lineRule="exact"/>
        <w:ind w:firstLine="420" w:firstLineChars="200"/>
        <w:rPr>
          <w:rFonts w:ascii="宋体"/>
          <w:bCs/>
          <w:szCs w:val="21"/>
        </w:rPr>
      </w:pPr>
    </w:p>
    <w:p>
      <w:pPr>
        <w:topLinePunct/>
        <w:snapToGrid w:val="0"/>
        <w:spacing w:line="440" w:lineRule="exact"/>
        <w:ind w:firstLine="420" w:firstLineChars="200"/>
        <w:rPr>
          <w:rFonts w:ascii="宋体"/>
          <w:bCs/>
          <w:szCs w:val="21"/>
        </w:rPr>
      </w:pPr>
      <w:r>
        <w:rPr>
          <w:rFonts w:hint="eastAsia" w:ascii="宋体" w:hAnsi="宋体"/>
          <w:bCs/>
          <w:szCs w:val="21"/>
        </w:rPr>
        <w:t>附：授权委托人身份证复印件</w:t>
      </w:r>
    </w:p>
    <w:p>
      <w:pPr>
        <w:spacing w:line="500" w:lineRule="exact"/>
        <w:rPr>
          <w:rFonts w:ascii="宋体"/>
          <w:szCs w:val="21"/>
        </w:rPr>
      </w:pPr>
      <w: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2"/>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授权委托人身份证国徽面</w:t>
                            </w:r>
                          </w:p>
                        </w:txbxContent>
                      </wps:txbx>
                      <wps:bodyPr wrap="square" upright="1"/>
                    </wps:wsp>
                  </a:graphicData>
                </a:graphic>
              </wp:anchor>
            </w:drawing>
          </mc:Choice>
          <mc:Fallback>
            <w:pict>
              <v:shape id="流程图: 可选过程 2" o:spid="_x0000_s1026" o:spt="176" type="#_x0000_t176" style="position:absolute;left:0pt;margin-left:208.3pt;margin-top:18.8pt;height:166.45pt;width:259.65pt;z-index:251663360;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ACJfjYAAAACgEAAA8AAAAAAAAAAQAgAAAAIgAAAGRycy9kb3ducmV2Lnht&#10;bFBLAQIUABQAAAAIAIdO4kD+DNknMgIAAF4EAAAOAAAAAAAAAAEAIAAAACcBAABkcnMvZTJvRG9j&#10;LnhtbFBLBQYAAAAABgAGAFkBAADLBQAAAAA=&#10;">
                <v:fill on="t" focussize="0,0"/>
                <v:stroke color="#000000" joinstyle="miter"/>
                <v:imagedata o:title=""/>
                <o:lock v:ext="edit" aspectratio="f"/>
                <v:textbox>
                  <w:txbxContent>
                    <w:p>
                      <w:pPr>
                        <w:jc w:val="center"/>
                        <w:rPr>
                          <w:szCs w:val="21"/>
                        </w:rPr>
                      </w:pPr>
                      <w:r>
                        <w:rPr>
                          <w:rFonts w:hint="eastAsia"/>
                          <w:szCs w:val="21"/>
                        </w:rPr>
                        <w:t>授权委托人身份证国徽面</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授权委托人身份证人像面</w:t>
                            </w:r>
                          </w:p>
                          <w:p>
                            <w:pPr>
                              <w:jc w:val="center"/>
                              <w:rPr>
                                <w:szCs w:val="21"/>
                              </w:rPr>
                            </w:pPr>
                          </w:p>
                        </w:txbxContent>
                      </wps:txbx>
                      <wps:bodyPr wrap="square" upright="1"/>
                    </wps:wsp>
                  </a:graphicData>
                </a:graphic>
              </wp:anchor>
            </w:drawing>
          </mc:Choice>
          <mc:Fallback>
            <w:pict>
              <v:shape id="流程图: 可选过程 1" o:spid="_x0000_s1026" o:spt="176" type="#_x0000_t176" style="position:absolute;left:0pt;margin-left:-51.35pt;margin-top:18.8pt;height:166.45pt;width:259.65pt;z-index:251662336;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Aglc2QAAAAsBAAAPAAAAAAAAAAEAIAAAACIAAABkcnMvZG93bnJldi54&#10;bWxQSwECFAAUAAAACACHTuJAAOSgPjICAABeBAAADgAAAAAAAAABACAAAAAoAQAAZHJzL2Uyb0Rv&#10;Yy54bWxQSwUGAAAAAAYABgBZAQAAzAUAAAAA&#10;">
                <v:fill on="t" focussize="0,0"/>
                <v:stroke color="#000000" joinstyle="miter"/>
                <v:imagedata o:title=""/>
                <o:lock v:ext="edit" aspectratio="f"/>
                <v:textbox>
                  <w:txbxContent>
                    <w:p>
                      <w:pPr>
                        <w:jc w:val="center"/>
                        <w:rPr>
                          <w:szCs w:val="21"/>
                        </w:rPr>
                      </w:pPr>
                      <w:r>
                        <w:rPr>
                          <w:rFonts w:hint="eastAsia"/>
                          <w:szCs w:val="21"/>
                        </w:rPr>
                        <w:t>授权委托人身份证人像面</w:t>
                      </w:r>
                    </w:p>
                    <w:p>
                      <w:pPr>
                        <w:jc w:val="center"/>
                        <w:rPr>
                          <w:szCs w:val="21"/>
                        </w:rPr>
                      </w:pPr>
                    </w:p>
                  </w:txbxContent>
                </v:textbox>
              </v:shape>
            </w:pict>
          </mc:Fallback>
        </mc:AlternateContent>
      </w:r>
    </w:p>
    <w:p>
      <w:pPr>
        <w:spacing w:line="44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hAnsi="宋体"/>
          <w:szCs w:val="21"/>
        </w:rPr>
      </w:pPr>
      <w:r>
        <w:rPr>
          <w:rFonts w:ascii="宋体" w:hAnsi="宋体"/>
          <w:szCs w:val="21"/>
        </w:rPr>
        <w:t xml:space="preserve">                          </w:t>
      </w:r>
    </w:p>
    <w:p>
      <w:pPr>
        <w:spacing w:line="500" w:lineRule="exact"/>
        <w:rPr>
          <w:rFonts w:ascii="宋体"/>
          <w:szCs w:val="21"/>
        </w:rPr>
      </w:pPr>
    </w:p>
    <w:p>
      <w:pPr>
        <w:spacing w:line="50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szCs w:val="21"/>
        </w:rPr>
      </w:pPr>
    </w:p>
    <w:p>
      <w:pPr>
        <w:spacing w:line="440" w:lineRule="exact"/>
        <w:rPr>
          <w:rFonts w:ascii="宋体"/>
          <w:szCs w:val="21"/>
        </w:rPr>
      </w:pPr>
    </w:p>
    <w:p>
      <w:pPr>
        <w:topLinePunct/>
        <w:snapToGrid w:val="0"/>
        <w:spacing w:line="440" w:lineRule="exact"/>
        <w:ind w:firstLine="420" w:firstLineChars="200"/>
        <w:jc w:val="right"/>
        <w:rPr>
          <w:rFonts w:ascii="宋体"/>
          <w:bCs/>
          <w:szCs w:val="21"/>
        </w:rPr>
      </w:pPr>
      <w:r>
        <w:rPr>
          <w:rFonts w:ascii="宋体" w:hAnsi="宋体"/>
          <w:bCs/>
          <w:szCs w:val="21"/>
        </w:rPr>
        <w:t xml:space="preserve"> </w:t>
      </w:r>
      <w:r>
        <w:rPr>
          <w:rFonts w:hint="eastAsia" w:ascii="宋体" w:hAnsi="宋体"/>
          <w:bCs/>
          <w:szCs w:val="21"/>
        </w:rPr>
        <w:t>投标人名称：</w:t>
      </w:r>
      <w:r>
        <w:rPr>
          <w:rFonts w:ascii="宋体" w:hAnsi="宋体"/>
          <w:bCs/>
          <w:szCs w:val="21"/>
          <w:u w:val="single"/>
        </w:rPr>
        <w:t xml:space="preserve">                               </w:t>
      </w:r>
      <w:r>
        <w:rPr>
          <w:rFonts w:hint="eastAsia" w:ascii="宋体" w:hAnsi="宋体"/>
          <w:bCs/>
          <w:szCs w:val="21"/>
        </w:rPr>
        <w:t>（盖单位公章）</w:t>
      </w:r>
    </w:p>
    <w:p>
      <w:pPr>
        <w:topLinePunct/>
        <w:snapToGrid w:val="0"/>
        <w:spacing w:line="440" w:lineRule="exact"/>
        <w:ind w:firstLine="2310" w:firstLineChars="1100"/>
        <w:rPr>
          <w:rFonts w:ascii="宋体"/>
          <w:bCs/>
          <w:szCs w:val="21"/>
        </w:rPr>
      </w:pPr>
      <w:r>
        <w:rPr>
          <w:rFonts w:hint="eastAsia" w:ascii="宋体" w:hAnsi="宋体"/>
          <w:bCs/>
          <w:szCs w:val="21"/>
        </w:rPr>
        <w:t>法定代表人：</w:t>
      </w:r>
      <w:r>
        <w:rPr>
          <w:rFonts w:ascii="宋体" w:hAnsi="宋体"/>
          <w:bCs/>
          <w:szCs w:val="21"/>
          <w:u w:val="single"/>
        </w:rPr>
        <w:t xml:space="preserve">                                </w:t>
      </w:r>
      <w:r>
        <w:rPr>
          <w:rFonts w:hint="eastAsia" w:ascii="宋体" w:hAnsi="宋体"/>
          <w:bCs/>
          <w:szCs w:val="21"/>
        </w:rPr>
        <w:t>（签字或盖章）</w:t>
      </w:r>
    </w:p>
    <w:p>
      <w:pPr>
        <w:topLinePunct/>
        <w:snapToGrid w:val="0"/>
        <w:spacing w:line="440" w:lineRule="exact"/>
        <w:ind w:firstLine="2310" w:firstLineChars="1100"/>
        <w:rPr>
          <w:rFonts w:ascii="宋体"/>
          <w:bCs/>
          <w:szCs w:val="21"/>
        </w:rPr>
      </w:pPr>
      <w:r>
        <w:rPr>
          <w:rFonts w:hint="eastAsia" w:ascii="宋体" w:hAnsi="宋体"/>
          <w:bCs/>
          <w:szCs w:val="21"/>
        </w:rPr>
        <w:t>身份证号码：</w:t>
      </w:r>
      <w:r>
        <w:rPr>
          <w:rFonts w:ascii="宋体" w:hAnsi="宋体"/>
          <w:bCs/>
          <w:szCs w:val="21"/>
          <w:u w:val="single"/>
        </w:rPr>
        <w:t xml:space="preserve">                                </w:t>
      </w:r>
    </w:p>
    <w:p>
      <w:pPr>
        <w:topLinePunct/>
        <w:snapToGrid w:val="0"/>
        <w:spacing w:line="440" w:lineRule="exact"/>
        <w:ind w:firstLine="2310" w:firstLineChars="1100"/>
        <w:rPr>
          <w:rFonts w:ascii="宋体" w:hAnsi="宋体"/>
          <w:bCs/>
          <w:szCs w:val="21"/>
        </w:rPr>
      </w:pPr>
      <w:r>
        <w:rPr>
          <w:rFonts w:hint="eastAsia" w:ascii="宋体" w:hAnsi="宋体"/>
          <w:bCs/>
          <w:szCs w:val="21"/>
        </w:rPr>
        <w:t>授权委托人：</w:t>
      </w:r>
      <w:r>
        <w:rPr>
          <w:rFonts w:ascii="宋体" w:hAnsi="宋体"/>
          <w:bCs/>
          <w:szCs w:val="21"/>
          <w:u w:val="single"/>
        </w:rPr>
        <w:t xml:space="preserve">                                </w:t>
      </w:r>
      <w:r>
        <w:rPr>
          <w:rFonts w:hint="eastAsia" w:ascii="宋体" w:hAnsi="宋体"/>
          <w:bCs/>
          <w:szCs w:val="21"/>
        </w:rPr>
        <w:t>（签字或盖章）</w:t>
      </w:r>
      <w:r>
        <w:rPr>
          <w:rFonts w:ascii="宋体" w:hAnsi="宋体"/>
          <w:bCs/>
          <w:szCs w:val="21"/>
        </w:rPr>
        <w:t xml:space="preserve"> </w:t>
      </w:r>
    </w:p>
    <w:p>
      <w:pPr>
        <w:topLinePunct/>
        <w:snapToGrid w:val="0"/>
        <w:spacing w:line="440" w:lineRule="exact"/>
        <w:ind w:firstLine="2310" w:firstLineChars="1100"/>
        <w:rPr>
          <w:rFonts w:ascii="宋体"/>
          <w:bCs/>
          <w:szCs w:val="21"/>
        </w:rPr>
      </w:pPr>
      <w:r>
        <w:rPr>
          <w:rFonts w:hint="eastAsia" w:ascii="宋体" w:hAnsi="宋体"/>
          <w:bCs/>
          <w:szCs w:val="21"/>
        </w:rPr>
        <w:t>身份证号码：</w:t>
      </w:r>
      <w:r>
        <w:rPr>
          <w:rFonts w:ascii="宋体" w:hAnsi="宋体"/>
          <w:bCs/>
          <w:szCs w:val="21"/>
          <w:u w:val="single"/>
        </w:rPr>
        <w:t xml:space="preserve">                                </w:t>
      </w:r>
    </w:p>
    <w:p>
      <w:pPr>
        <w:topLinePunct/>
        <w:snapToGrid w:val="0"/>
        <w:spacing w:line="440" w:lineRule="exact"/>
        <w:ind w:firstLine="420" w:firstLineChars="200"/>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日</w:t>
      </w:r>
    </w:p>
    <w:p>
      <w:pPr>
        <w:spacing w:line="360" w:lineRule="exact"/>
        <w:rPr>
          <w:rFonts w:ascii="宋体"/>
          <w:sz w:val="28"/>
          <w:szCs w:val="28"/>
        </w:rPr>
        <w:sectPr>
          <w:headerReference r:id="rId7" w:type="first"/>
          <w:footerReference r:id="rId9" w:type="first"/>
          <w:footerReference r:id="rId8" w:type="default"/>
          <w:pgSz w:w="11906" w:h="16838"/>
          <w:pgMar w:top="1440" w:right="1800" w:bottom="1440" w:left="1800" w:header="851" w:footer="992" w:gutter="0"/>
          <w:pgNumType w:fmt="numberInDash"/>
          <w:cols w:space="720" w:num="1"/>
          <w:titlePg/>
          <w:docGrid w:linePitch="286" w:charSpace="0"/>
        </w:sectPr>
      </w:pPr>
    </w:p>
    <w:p>
      <w:pPr>
        <w:pStyle w:val="4"/>
        <w:snapToGrid w:val="0"/>
        <w:spacing w:before="0" w:after="0" w:line="360" w:lineRule="auto"/>
        <w:jc w:val="center"/>
        <w:rPr>
          <w:rFonts w:ascii="宋体" w:hAnsi="宋体" w:eastAsia="宋体" w:cs="宋体"/>
          <w:bCs w:val="0"/>
          <w:sz w:val="24"/>
          <w:szCs w:val="24"/>
        </w:rPr>
      </w:pPr>
      <w:bookmarkStart w:id="532" w:name="_Toc12305"/>
      <w:bookmarkStart w:id="533" w:name="_Toc16175993"/>
      <w:bookmarkStart w:id="534" w:name="_Toc447265331"/>
      <w:bookmarkStart w:id="535" w:name="_Toc447265617"/>
      <w:r>
        <w:rPr>
          <w:rFonts w:hint="eastAsia" w:ascii="宋体" w:hAnsi="宋体" w:eastAsia="宋体" w:cs="宋体"/>
          <w:bCs w:val="0"/>
          <w:sz w:val="24"/>
          <w:szCs w:val="24"/>
        </w:rPr>
        <w:t>四</w:t>
      </w:r>
      <w:r>
        <w:rPr>
          <w:rFonts w:ascii="宋体" w:hAnsi="宋体" w:eastAsia="宋体" w:cs="宋体"/>
          <w:bCs w:val="0"/>
          <w:sz w:val="24"/>
          <w:szCs w:val="24"/>
        </w:rPr>
        <w:t>、投标报价表及说明</w:t>
      </w:r>
      <w:bookmarkEnd w:id="532"/>
      <w:bookmarkEnd w:id="533"/>
    </w:p>
    <w:p>
      <w:pPr>
        <w:spacing w:line="360" w:lineRule="auto"/>
        <w:jc w:val="center"/>
        <w:rPr>
          <w:rFonts w:hint="eastAsia" w:ascii="宋体" w:hAnsi="宋体"/>
          <w:b/>
          <w:sz w:val="24"/>
        </w:rPr>
      </w:pPr>
      <w:r>
        <w:rPr>
          <w:rFonts w:hint="eastAsia" w:ascii="宋体" w:hAnsi="宋体"/>
          <w:b/>
          <w:sz w:val="24"/>
        </w:rPr>
        <w:t>投标报价表</w:t>
      </w:r>
    </w:p>
    <w:p>
      <w:pPr>
        <w:spacing w:line="360" w:lineRule="auto"/>
        <w:rPr>
          <w:rFonts w:ascii="宋体" w:cs="宋体"/>
          <w:szCs w:val="21"/>
        </w:rPr>
      </w:pPr>
      <w:r>
        <w:rPr>
          <w:rFonts w:hint="eastAsia" w:ascii="宋体" w:hAnsi="宋体" w:cs="宋体"/>
          <w:szCs w:val="21"/>
        </w:rPr>
        <w:t>项目名称：</w:t>
      </w:r>
      <w:r>
        <w:rPr>
          <w:rFonts w:hint="eastAsia" w:ascii="宋体" w:hAnsi="宋体" w:cs="宋体"/>
          <w:bCs/>
          <w:szCs w:val="21"/>
          <w:u w:val="single"/>
        </w:rPr>
        <w:t>S103济枣线山亭区凫城至市中区曾店段改建工程钢材采购</w:t>
      </w:r>
      <w:r>
        <w:rPr>
          <w:rFonts w:ascii="宋体" w:hAnsi="宋体" w:cs="宋体"/>
          <w:szCs w:val="21"/>
        </w:rPr>
        <w:t xml:space="preserve">      </w:t>
      </w:r>
      <w:r>
        <w:rPr>
          <w:rFonts w:hint="eastAsia" w:ascii="宋体" w:hAnsi="宋体" w:cs="宋体"/>
          <w:szCs w:val="21"/>
        </w:rPr>
        <w:t>招标编号：</w:t>
      </w:r>
      <w:r>
        <w:rPr>
          <w:rFonts w:hint="eastAsia" w:ascii="宋体" w:hAnsi="宋体" w:cs="宋体"/>
          <w:szCs w:val="21"/>
          <w:u w:val="single"/>
        </w:rPr>
        <w:t>CGC2021-JS-CL-14</w:t>
      </w:r>
      <w:r>
        <w:rPr>
          <w:rFonts w:hint="eastAsia" w:ascii="宋体" w:hAnsi="宋体" w:cs="宋体"/>
          <w:szCs w:val="21"/>
        </w:rPr>
        <w:t xml:space="preserve">               币种：人民币</w:t>
      </w:r>
    </w:p>
    <w:tbl>
      <w:tblPr>
        <w:tblStyle w:val="40"/>
        <w:tblW w:w="0" w:type="auto"/>
        <w:tblInd w:w="527"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3136"/>
        <w:gridCol w:w="1835"/>
        <w:gridCol w:w="5193"/>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5" w:type="dxa"/>
            <w:noWrap w:val="0"/>
            <w:vAlign w:val="center"/>
          </w:tcPr>
          <w:p>
            <w:pPr>
              <w:spacing w:line="400" w:lineRule="exact"/>
              <w:jc w:val="center"/>
              <w:rPr>
                <w:rFonts w:ascii="宋体" w:hAnsi="宋体"/>
                <w:bCs/>
              </w:rPr>
            </w:pPr>
            <w:r>
              <w:rPr>
                <w:rFonts w:hint="eastAsia" w:ascii="宋体" w:hAnsi="宋体"/>
                <w:bCs/>
              </w:rPr>
              <w:t>序号</w:t>
            </w:r>
          </w:p>
        </w:tc>
        <w:tc>
          <w:tcPr>
            <w:tcW w:w="4971" w:type="dxa"/>
            <w:gridSpan w:val="2"/>
            <w:noWrap w:val="0"/>
            <w:vAlign w:val="center"/>
          </w:tcPr>
          <w:p>
            <w:pPr>
              <w:spacing w:line="400" w:lineRule="exact"/>
              <w:jc w:val="center"/>
              <w:rPr>
                <w:rFonts w:ascii="宋体" w:hAnsi="宋体"/>
                <w:bCs/>
              </w:rPr>
            </w:pPr>
            <w:r>
              <w:rPr>
                <w:rFonts w:hint="eastAsia" w:ascii="宋体" w:hAnsi="宋体"/>
                <w:bCs/>
              </w:rPr>
              <w:t>金额</w:t>
            </w:r>
          </w:p>
        </w:tc>
        <w:tc>
          <w:tcPr>
            <w:tcW w:w="5193" w:type="dxa"/>
            <w:noWrap w:val="0"/>
            <w:vAlign w:val="center"/>
          </w:tcPr>
          <w:p>
            <w:pPr>
              <w:spacing w:line="400" w:lineRule="exact"/>
              <w:jc w:val="center"/>
              <w:rPr>
                <w:rFonts w:ascii="宋体" w:hAnsi="宋体"/>
                <w:bCs/>
              </w:rPr>
            </w:pPr>
            <w:r>
              <w:rPr>
                <w:rFonts w:hint="eastAsia" w:ascii="宋体" w:hAnsi="宋体"/>
                <w:bCs/>
              </w:rPr>
              <w:t>备注</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5" w:type="dxa"/>
            <w:noWrap w:val="0"/>
            <w:vAlign w:val="center"/>
          </w:tcPr>
          <w:p>
            <w:pPr>
              <w:spacing w:line="40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lang w:val="en-US" w:eastAsia="zh-CN"/>
              </w:rPr>
              <w:t>1</w:t>
            </w:r>
          </w:p>
        </w:tc>
        <w:tc>
          <w:tcPr>
            <w:tcW w:w="4971" w:type="dxa"/>
            <w:gridSpan w:val="2"/>
            <w:noWrap w:val="0"/>
            <w:vAlign w:val="center"/>
          </w:tcPr>
          <w:p>
            <w:pPr>
              <w:spacing w:line="400" w:lineRule="exact"/>
              <w:jc w:val="left"/>
              <w:rPr>
                <w:rFonts w:hint="eastAsia" w:ascii="宋体" w:hAnsi="宋体" w:eastAsia="宋体" w:cs="Times New Roman"/>
                <w:bCs/>
                <w:kern w:val="2"/>
                <w:sz w:val="24"/>
                <w:szCs w:val="24"/>
                <w:lang w:val="en-US" w:eastAsia="zh-CN" w:bidi="ar-SA"/>
              </w:rPr>
            </w:pPr>
            <w:r>
              <w:rPr>
                <w:rFonts w:hint="eastAsia" w:ascii="宋体" w:hAnsi="宋体"/>
                <w:bCs/>
                <w:sz w:val="24"/>
                <w:lang w:val="en-US" w:eastAsia="zh-CN"/>
              </w:rPr>
              <w:t>钢材</w:t>
            </w:r>
            <w:r>
              <w:rPr>
                <w:rFonts w:hint="eastAsia" w:ascii="宋体" w:hAnsi="宋体"/>
                <w:b w:val="0"/>
                <w:bCs/>
                <w:sz w:val="24"/>
                <w:lang w:val="en-US" w:eastAsia="zh-CN"/>
              </w:rPr>
              <w:t>（</w:t>
            </w:r>
            <w:r>
              <w:rPr>
                <w:rFonts w:hint="eastAsia" w:ascii="宋体" w:hAnsi="宋体" w:cs="宋体"/>
                <w:b w:val="0"/>
                <w:bCs/>
                <w:lang w:val="en-US" w:eastAsia="zh-CN"/>
              </w:rPr>
              <w:t>高线光圆</w:t>
            </w:r>
            <w:r>
              <w:rPr>
                <w:rFonts w:hint="eastAsia" w:ascii="宋体" w:hAnsi="宋体" w:eastAsia="宋体" w:cs="宋体"/>
                <w:b w:val="0"/>
                <w:bCs/>
              </w:rPr>
              <w:t>φ8</w:t>
            </w:r>
            <w:r>
              <w:rPr>
                <w:rFonts w:hint="eastAsia" w:ascii="宋体" w:hAnsi="宋体" w:cs="宋体"/>
                <w:b w:val="0"/>
                <w:bCs/>
                <w:lang w:eastAsia="zh-CN"/>
              </w:rPr>
              <w:t>）：</w:t>
            </w:r>
          </w:p>
        </w:tc>
        <w:tc>
          <w:tcPr>
            <w:tcW w:w="5193" w:type="dxa"/>
            <w:noWrap w:val="0"/>
            <w:vAlign w:val="center"/>
          </w:tcPr>
          <w:p>
            <w:pPr>
              <w:spacing w:line="400" w:lineRule="exact"/>
              <w:jc w:val="center"/>
              <w:rPr>
                <w:rFonts w:ascii="宋体" w:hAnsi="宋体" w:eastAsia="宋体" w:cs="Times New Roman"/>
                <w:bCs/>
                <w:kern w:val="2"/>
                <w:sz w:val="21"/>
                <w:szCs w:val="24"/>
                <w:lang w:val="en-US" w:eastAsia="zh-CN" w:bidi="ar-SA"/>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5" w:type="dxa"/>
            <w:noWrap w:val="0"/>
            <w:vAlign w:val="center"/>
          </w:tcPr>
          <w:p>
            <w:pPr>
              <w:spacing w:line="400" w:lineRule="exact"/>
              <w:jc w:val="center"/>
              <w:rPr>
                <w:rFonts w:hint="eastAsia" w:ascii="宋体" w:hAnsi="宋体" w:eastAsia="宋体"/>
                <w:bCs/>
                <w:sz w:val="24"/>
                <w:lang w:eastAsia="zh-CN"/>
              </w:rPr>
            </w:pPr>
            <w:r>
              <w:rPr>
                <w:rFonts w:hint="eastAsia" w:ascii="宋体" w:hAnsi="宋体"/>
                <w:bCs/>
                <w:sz w:val="24"/>
                <w:lang w:val="en-US" w:eastAsia="zh-CN"/>
              </w:rPr>
              <w:t>2</w:t>
            </w:r>
          </w:p>
        </w:tc>
        <w:tc>
          <w:tcPr>
            <w:tcW w:w="4971" w:type="dxa"/>
            <w:gridSpan w:val="2"/>
            <w:noWrap w:val="0"/>
            <w:vAlign w:val="center"/>
          </w:tcPr>
          <w:p>
            <w:pPr>
              <w:spacing w:line="400" w:lineRule="exact"/>
              <w:jc w:val="left"/>
              <w:rPr>
                <w:rFonts w:ascii="宋体" w:hAnsi="宋体"/>
                <w:bCs/>
                <w:sz w:val="24"/>
              </w:rPr>
            </w:pPr>
            <w:r>
              <w:rPr>
                <w:rFonts w:hint="eastAsia" w:ascii="宋体" w:hAnsi="宋体"/>
                <w:bCs/>
                <w:sz w:val="24"/>
                <w:lang w:val="en-US" w:eastAsia="zh-CN"/>
              </w:rPr>
              <w:t>钢材</w:t>
            </w:r>
            <w:r>
              <w:rPr>
                <w:rFonts w:hint="eastAsia" w:ascii="宋体" w:hAnsi="宋体"/>
                <w:b w:val="0"/>
                <w:bCs/>
                <w:sz w:val="24"/>
                <w:lang w:val="en-US" w:eastAsia="zh-CN"/>
              </w:rPr>
              <w:t>（</w:t>
            </w:r>
            <w:r>
              <w:rPr>
                <w:rFonts w:hint="eastAsia" w:ascii="宋体" w:hAnsi="宋体" w:cs="宋体"/>
                <w:b w:val="0"/>
                <w:bCs/>
                <w:lang w:val="en-US" w:eastAsia="zh-CN"/>
              </w:rPr>
              <w:t>高线光圆</w:t>
            </w:r>
            <w:r>
              <w:rPr>
                <w:rFonts w:hint="eastAsia" w:ascii="宋体" w:hAnsi="宋体" w:eastAsia="宋体" w:cs="宋体"/>
                <w:b w:val="0"/>
                <w:bCs/>
              </w:rPr>
              <w:t>φ</w:t>
            </w:r>
            <w:r>
              <w:rPr>
                <w:rFonts w:hint="eastAsia" w:ascii="宋体" w:hAnsi="宋体" w:cs="宋体"/>
                <w:b w:val="0"/>
                <w:bCs/>
                <w:lang w:val="en-US" w:eastAsia="zh-CN"/>
              </w:rPr>
              <w:t>10</w:t>
            </w:r>
            <w:r>
              <w:rPr>
                <w:rFonts w:hint="eastAsia" w:ascii="宋体" w:hAnsi="宋体" w:cs="宋体"/>
                <w:b w:val="0"/>
                <w:bCs/>
                <w:lang w:eastAsia="zh-CN"/>
              </w:rPr>
              <w:t>）：</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5" w:type="dxa"/>
            <w:noWrap w:val="0"/>
            <w:vAlign w:val="center"/>
          </w:tcPr>
          <w:p>
            <w:pPr>
              <w:spacing w:line="400" w:lineRule="exact"/>
              <w:jc w:val="center"/>
              <w:rPr>
                <w:rFonts w:hint="eastAsia" w:ascii="宋体" w:hAnsi="宋体" w:eastAsia="宋体"/>
                <w:bCs/>
                <w:sz w:val="24"/>
                <w:lang w:eastAsia="zh-CN"/>
              </w:rPr>
            </w:pPr>
            <w:r>
              <w:rPr>
                <w:rFonts w:hint="eastAsia" w:ascii="宋体" w:hAnsi="宋体"/>
                <w:bCs/>
                <w:sz w:val="24"/>
                <w:lang w:val="en-US" w:eastAsia="zh-CN"/>
              </w:rPr>
              <w:t>3</w:t>
            </w:r>
          </w:p>
        </w:tc>
        <w:tc>
          <w:tcPr>
            <w:tcW w:w="4971" w:type="dxa"/>
            <w:gridSpan w:val="2"/>
            <w:noWrap w:val="0"/>
            <w:vAlign w:val="center"/>
          </w:tcPr>
          <w:p>
            <w:pPr>
              <w:spacing w:line="400" w:lineRule="exact"/>
              <w:jc w:val="left"/>
              <w:rPr>
                <w:rFonts w:hint="eastAsia" w:ascii="宋体" w:hAnsi="宋体" w:eastAsia="宋体"/>
                <w:bCs/>
                <w:sz w:val="24"/>
                <w:lang w:eastAsia="zh-CN"/>
              </w:rPr>
            </w:pPr>
            <w:r>
              <w:rPr>
                <w:rFonts w:hint="eastAsia" w:ascii="宋体" w:hAnsi="宋体"/>
                <w:bCs/>
                <w:sz w:val="24"/>
                <w:lang w:val="en-US" w:eastAsia="zh-CN"/>
              </w:rPr>
              <w:t>钢材</w:t>
            </w:r>
            <w:r>
              <w:rPr>
                <w:rFonts w:hint="eastAsia" w:ascii="宋体" w:hAnsi="宋体"/>
                <w:b w:val="0"/>
                <w:bCs/>
                <w:sz w:val="24"/>
                <w:lang w:val="en-US" w:eastAsia="zh-CN"/>
              </w:rPr>
              <w:t>（</w:t>
            </w:r>
            <w:r>
              <w:rPr>
                <w:rFonts w:hint="eastAsia" w:ascii="宋体" w:hAnsi="宋体" w:eastAsia="宋体" w:cs="宋体"/>
                <w:b w:val="0"/>
                <w:bCs/>
              </w:rPr>
              <w:t>螺纹φ12</w:t>
            </w:r>
            <w:r>
              <w:rPr>
                <w:rFonts w:hint="eastAsia" w:ascii="宋体" w:hAnsi="宋体" w:cs="宋体"/>
                <w:b w:val="0"/>
                <w:bCs/>
                <w:lang w:eastAsia="zh-CN"/>
              </w:rPr>
              <w:t>）：</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5" w:type="dxa"/>
            <w:noWrap w:val="0"/>
            <w:vAlign w:val="center"/>
          </w:tcPr>
          <w:p>
            <w:pPr>
              <w:spacing w:line="400" w:lineRule="exact"/>
              <w:jc w:val="center"/>
              <w:rPr>
                <w:rFonts w:hint="eastAsia" w:ascii="宋体" w:hAnsi="宋体" w:eastAsia="宋体"/>
                <w:bCs/>
                <w:sz w:val="24"/>
                <w:lang w:val="en-US" w:eastAsia="zh-CN"/>
              </w:rPr>
            </w:pPr>
            <w:r>
              <w:rPr>
                <w:rFonts w:hint="eastAsia" w:ascii="宋体" w:hAnsi="宋体"/>
                <w:bCs/>
                <w:sz w:val="24"/>
                <w:lang w:val="en-US" w:eastAsia="zh-CN"/>
              </w:rPr>
              <w:t>4</w:t>
            </w:r>
          </w:p>
        </w:tc>
        <w:tc>
          <w:tcPr>
            <w:tcW w:w="4971" w:type="dxa"/>
            <w:gridSpan w:val="2"/>
            <w:noWrap w:val="0"/>
            <w:vAlign w:val="center"/>
          </w:tcPr>
          <w:p>
            <w:pPr>
              <w:spacing w:line="400" w:lineRule="exact"/>
              <w:jc w:val="left"/>
              <w:rPr>
                <w:rFonts w:hint="eastAsia" w:ascii="宋体" w:hAnsi="宋体"/>
                <w:bCs/>
                <w:sz w:val="24"/>
                <w:lang w:val="en-US" w:eastAsia="zh-CN"/>
              </w:rPr>
            </w:pPr>
            <w:r>
              <w:rPr>
                <w:rFonts w:hint="eastAsia" w:ascii="宋体" w:hAnsi="宋体"/>
                <w:bCs/>
                <w:sz w:val="24"/>
                <w:lang w:val="en-US" w:eastAsia="zh-CN"/>
              </w:rPr>
              <w:t>钢材</w:t>
            </w:r>
            <w:r>
              <w:rPr>
                <w:rFonts w:hint="eastAsia" w:ascii="宋体" w:hAnsi="宋体"/>
                <w:b w:val="0"/>
                <w:bCs/>
                <w:sz w:val="24"/>
                <w:lang w:val="en-US" w:eastAsia="zh-CN"/>
              </w:rPr>
              <w:t>（</w:t>
            </w:r>
            <w:r>
              <w:rPr>
                <w:rFonts w:hint="eastAsia" w:ascii="宋体" w:hAnsi="宋体" w:cs="宋体"/>
                <w:b w:val="0"/>
                <w:bCs/>
                <w:lang w:val="en-US" w:eastAsia="zh-CN"/>
              </w:rPr>
              <w:t>光圆</w:t>
            </w:r>
            <w:r>
              <w:rPr>
                <w:rFonts w:hint="eastAsia" w:ascii="宋体" w:hAnsi="宋体" w:eastAsia="宋体" w:cs="宋体"/>
                <w:b w:val="0"/>
                <w:bCs/>
              </w:rPr>
              <w:t>φ</w:t>
            </w:r>
            <w:r>
              <w:rPr>
                <w:rFonts w:hint="eastAsia" w:ascii="宋体" w:hAnsi="宋体" w:cs="宋体"/>
                <w:b w:val="0"/>
                <w:bCs/>
                <w:lang w:val="en-US" w:eastAsia="zh-CN"/>
              </w:rPr>
              <w:t>14</w:t>
            </w:r>
            <w:r>
              <w:rPr>
                <w:rFonts w:hint="eastAsia" w:ascii="宋体" w:hAnsi="宋体" w:cs="宋体"/>
                <w:b w:val="0"/>
                <w:bCs/>
                <w:lang w:eastAsia="zh-CN"/>
              </w:rPr>
              <w:t>）：</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5" w:type="dxa"/>
            <w:noWrap w:val="0"/>
            <w:vAlign w:val="center"/>
          </w:tcPr>
          <w:p>
            <w:pPr>
              <w:spacing w:line="400" w:lineRule="exact"/>
              <w:jc w:val="center"/>
              <w:rPr>
                <w:rFonts w:hint="eastAsia" w:ascii="宋体" w:hAnsi="宋体" w:eastAsia="宋体"/>
                <w:bCs/>
                <w:sz w:val="24"/>
                <w:lang w:val="en-US" w:eastAsia="zh-CN"/>
              </w:rPr>
            </w:pPr>
            <w:r>
              <w:rPr>
                <w:rFonts w:hint="eastAsia" w:ascii="宋体" w:hAnsi="宋体"/>
                <w:bCs/>
                <w:sz w:val="24"/>
                <w:lang w:val="en-US" w:eastAsia="zh-CN"/>
              </w:rPr>
              <w:t>5</w:t>
            </w:r>
          </w:p>
        </w:tc>
        <w:tc>
          <w:tcPr>
            <w:tcW w:w="4971" w:type="dxa"/>
            <w:gridSpan w:val="2"/>
            <w:noWrap w:val="0"/>
            <w:vAlign w:val="center"/>
          </w:tcPr>
          <w:p>
            <w:pPr>
              <w:spacing w:line="400" w:lineRule="exact"/>
              <w:jc w:val="left"/>
              <w:rPr>
                <w:rFonts w:hint="eastAsia" w:ascii="宋体" w:hAnsi="宋体"/>
                <w:bCs/>
                <w:sz w:val="24"/>
                <w:lang w:val="en-US" w:eastAsia="zh-CN"/>
              </w:rPr>
            </w:pPr>
            <w:r>
              <w:rPr>
                <w:rFonts w:hint="eastAsia" w:ascii="宋体" w:hAnsi="宋体"/>
                <w:bCs/>
                <w:sz w:val="24"/>
                <w:lang w:val="en-US" w:eastAsia="zh-CN"/>
              </w:rPr>
              <w:t>钢材</w:t>
            </w:r>
            <w:r>
              <w:rPr>
                <w:rFonts w:hint="eastAsia" w:ascii="宋体" w:hAnsi="宋体"/>
                <w:b w:val="0"/>
                <w:bCs/>
                <w:sz w:val="24"/>
                <w:lang w:val="en-US" w:eastAsia="zh-CN"/>
              </w:rPr>
              <w:t>（</w:t>
            </w:r>
            <w:r>
              <w:rPr>
                <w:rFonts w:hint="eastAsia" w:ascii="宋体" w:hAnsi="宋体" w:eastAsia="宋体" w:cs="宋体"/>
                <w:b w:val="0"/>
                <w:bCs/>
              </w:rPr>
              <w:t>螺纹φ1</w:t>
            </w:r>
            <w:r>
              <w:rPr>
                <w:rFonts w:hint="eastAsia" w:ascii="宋体" w:hAnsi="宋体" w:cs="宋体"/>
                <w:b w:val="0"/>
                <w:bCs/>
                <w:lang w:val="en-US" w:eastAsia="zh-CN"/>
              </w:rPr>
              <w:t>6</w:t>
            </w:r>
            <w:r>
              <w:rPr>
                <w:rFonts w:hint="eastAsia" w:ascii="宋体" w:hAnsi="宋体" w:cs="宋体"/>
                <w:b w:val="0"/>
                <w:bCs/>
                <w:lang w:eastAsia="zh-CN"/>
              </w:rPr>
              <w:t>）：</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5" w:type="dxa"/>
            <w:noWrap w:val="0"/>
            <w:vAlign w:val="center"/>
          </w:tcPr>
          <w:p>
            <w:pPr>
              <w:spacing w:line="400" w:lineRule="exact"/>
              <w:jc w:val="center"/>
              <w:rPr>
                <w:rFonts w:hint="eastAsia" w:ascii="宋体" w:hAnsi="宋体" w:eastAsia="宋体"/>
                <w:bCs/>
                <w:sz w:val="24"/>
                <w:lang w:val="en-US" w:eastAsia="zh-CN"/>
              </w:rPr>
            </w:pPr>
            <w:r>
              <w:rPr>
                <w:rFonts w:hint="eastAsia" w:ascii="宋体" w:hAnsi="宋体"/>
                <w:bCs/>
                <w:sz w:val="24"/>
                <w:lang w:val="en-US" w:eastAsia="zh-CN"/>
              </w:rPr>
              <w:t>6</w:t>
            </w:r>
          </w:p>
        </w:tc>
        <w:tc>
          <w:tcPr>
            <w:tcW w:w="4971" w:type="dxa"/>
            <w:gridSpan w:val="2"/>
            <w:noWrap w:val="0"/>
            <w:vAlign w:val="center"/>
          </w:tcPr>
          <w:p>
            <w:pPr>
              <w:spacing w:line="400" w:lineRule="exact"/>
              <w:jc w:val="left"/>
              <w:rPr>
                <w:rFonts w:hint="eastAsia" w:ascii="宋体" w:hAnsi="宋体"/>
                <w:bCs/>
                <w:sz w:val="24"/>
                <w:lang w:val="en-US" w:eastAsia="zh-CN"/>
              </w:rPr>
            </w:pPr>
            <w:r>
              <w:rPr>
                <w:rFonts w:hint="eastAsia" w:ascii="宋体" w:hAnsi="宋体"/>
                <w:bCs/>
                <w:sz w:val="24"/>
                <w:lang w:val="en-US" w:eastAsia="zh-CN"/>
              </w:rPr>
              <w:t>钢材</w:t>
            </w:r>
            <w:r>
              <w:rPr>
                <w:rFonts w:hint="eastAsia" w:ascii="宋体" w:hAnsi="宋体"/>
                <w:b w:val="0"/>
                <w:bCs/>
                <w:sz w:val="24"/>
                <w:lang w:val="en-US" w:eastAsia="zh-CN"/>
              </w:rPr>
              <w:t>（</w:t>
            </w:r>
            <w:r>
              <w:rPr>
                <w:rFonts w:hint="eastAsia" w:ascii="宋体" w:hAnsi="宋体" w:eastAsia="宋体" w:cs="宋体"/>
                <w:b w:val="0"/>
                <w:bCs/>
              </w:rPr>
              <w:t>螺纹φ</w:t>
            </w:r>
            <w:r>
              <w:rPr>
                <w:rFonts w:hint="eastAsia" w:ascii="宋体" w:hAnsi="宋体" w:cs="宋体"/>
                <w:b w:val="0"/>
                <w:bCs/>
                <w:lang w:val="en-US" w:eastAsia="zh-CN"/>
              </w:rPr>
              <w:t>20</w:t>
            </w:r>
            <w:r>
              <w:rPr>
                <w:rFonts w:hint="eastAsia" w:ascii="宋体" w:hAnsi="宋体" w:cs="宋体"/>
                <w:b w:val="0"/>
                <w:bCs/>
                <w:lang w:eastAsia="zh-CN"/>
              </w:rPr>
              <w:t>）：</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5" w:type="dxa"/>
            <w:noWrap w:val="0"/>
            <w:vAlign w:val="center"/>
          </w:tcPr>
          <w:p>
            <w:pPr>
              <w:spacing w:line="400" w:lineRule="exact"/>
              <w:jc w:val="center"/>
              <w:rPr>
                <w:rFonts w:hint="eastAsia" w:ascii="宋体" w:hAnsi="宋体" w:eastAsia="宋体"/>
                <w:bCs/>
                <w:sz w:val="24"/>
                <w:lang w:val="en-US" w:eastAsia="zh-CN"/>
              </w:rPr>
            </w:pPr>
            <w:r>
              <w:rPr>
                <w:rFonts w:hint="eastAsia" w:ascii="宋体" w:hAnsi="宋体"/>
                <w:bCs/>
                <w:sz w:val="24"/>
                <w:lang w:val="en-US" w:eastAsia="zh-CN"/>
              </w:rPr>
              <w:t>7</w:t>
            </w:r>
          </w:p>
        </w:tc>
        <w:tc>
          <w:tcPr>
            <w:tcW w:w="4971" w:type="dxa"/>
            <w:gridSpan w:val="2"/>
            <w:noWrap w:val="0"/>
            <w:vAlign w:val="center"/>
          </w:tcPr>
          <w:p>
            <w:pPr>
              <w:spacing w:line="400" w:lineRule="exact"/>
              <w:jc w:val="left"/>
              <w:rPr>
                <w:rFonts w:hint="eastAsia" w:ascii="宋体" w:hAnsi="宋体"/>
                <w:bCs/>
                <w:sz w:val="24"/>
                <w:lang w:val="en-US" w:eastAsia="zh-CN"/>
              </w:rPr>
            </w:pPr>
            <w:r>
              <w:rPr>
                <w:rFonts w:hint="eastAsia" w:ascii="宋体" w:hAnsi="宋体"/>
                <w:bCs/>
                <w:sz w:val="24"/>
                <w:lang w:val="en-US" w:eastAsia="zh-CN"/>
              </w:rPr>
              <w:t>钢材</w:t>
            </w:r>
            <w:r>
              <w:rPr>
                <w:rFonts w:hint="eastAsia" w:ascii="宋体" w:hAnsi="宋体"/>
                <w:b w:val="0"/>
                <w:bCs/>
                <w:sz w:val="24"/>
                <w:lang w:val="en-US" w:eastAsia="zh-CN"/>
              </w:rPr>
              <w:t>（</w:t>
            </w:r>
            <w:r>
              <w:rPr>
                <w:rFonts w:hint="eastAsia" w:ascii="宋体" w:hAnsi="宋体" w:eastAsia="宋体" w:cs="宋体"/>
                <w:b w:val="0"/>
                <w:bCs/>
              </w:rPr>
              <w:t>螺纹φ</w:t>
            </w:r>
            <w:r>
              <w:rPr>
                <w:rFonts w:hint="eastAsia" w:ascii="宋体" w:hAnsi="宋体" w:cs="宋体"/>
                <w:b w:val="0"/>
                <w:bCs/>
                <w:lang w:val="en-US" w:eastAsia="zh-CN"/>
              </w:rPr>
              <w:t>22</w:t>
            </w:r>
            <w:r>
              <w:rPr>
                <w:rFonts w:hint="eastAsia" w:ascii="宋体" w:hAnsi="宋体" w:cs="宋体"/>
                <w:b w:val="0"/>
                <w:bCs/>
                <w:lang w:eastAsia="zh-CN"/>
              </w:rPr>
              <w:t>）：</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5" w:type="dxa"/>
            <w:noWrap w:val="0"/>
            <w:vAlign w:val="center"/>
          </w:tcPr>
          <w:p>
            <w:pPr>
              <w:spacing w:line="400" w:lineRule="exact"/>
              <w:jc w:val="center"/>
              <w:rPr>
                <w:rFonts w:hint="eastAsia" w:ascii="宋体" w:hAnsi="宋体" w:eastAsia="宋体"/>
                <w:bCs/>
                <w:sz w:val="24"/>
                <w:lang w:val="en-US" w:eastAsia="zh-CN"/>
              </w:rPr>
            </w:pPr>
            <w:r>
              <w:rPr>
                <w:rFonts w:hint="eastAsia" w:ascii="宋体" w:hAnsi="宋体"/>
                <w:bCs/>
                <w:sz w:val="24"/>
                <w:lang w:val="en-US" w:eastAsia="zh-CN"/>
              </w:rPr>
              <w:t>8</w:t>
            </w:r>
          </w:p>
        </w:tc>
        <w:tc>
          <w:tcPr>
            <w:tcW w:w="4971" w:type="dxa"/>
            <w:gridSpan w:val="2"/>
            <w:noWrap w:val="0"/>
            <w:vAlign w:val="center"/>
          </w:tcPr>
          <w:p>
            <w:pPr>
              <w:spacing w:line="400" w:lineRule="exact"/>
              <w:jc w:val="left"/>
              <w:rPr>
                <w:rFonts w:hint="eastAsia" w:ascii="宋体" w:hAnsi="宋体"/>
                <w:bCs/>
                <w:sz w:val="24"/>
                <w:lang w:val="en-US" w:eastAsia="zh-CN"/>
              </w:rPr>
            </w:pPr>
            <w:r>
              <w:rPr>
                <w:rFonts w:hint="eastAsia" w:ascii="宋体" w:hAnsi="宋体"/>
                <w:bCs/>
                <w:sz w:val="24"/>
                <w:lang w:val="en-US" w:eastAsia="zh-CN"/>
              </w:rPr>
              <w:t>钢材</w:t>
            </w:r>
            <w:r>
              <w:rPr>
                <w:rFonts w:hint="eastAsia" w:ascii="宋体" w:hAnsi="宋体"/>
                <w:b w:val="0"/>
                <w:bCs/>
                <w:sz w:val="24"/>
                <w:lang w:val="en-US" w:eastAsia="zh-CN"/>
              </w:rPr>
              <w:t>（</w:t>
            </w:r>
            <w:r>
              <w:rPr>
                <w:rFonts w:hint="eastAsia" w:ascii="宋体" w:hAnsi="宋体" w:eastAsia="宋体" w:cs="宋体"/>
                <w:b w:val="0"/>
                <w:bCs/>
              </w:rPr>
              <w:t>螺纹φ</w:t>
            </w:r>
            <w:r>
              <w:rPr>
                <w:rFonts w:hint="eastAsia" w:ascii="宋体" w:hAnsi="宋体" w:cs="宋体"/>
                <w:b w:val="0"/>
                <w:bCs/>
                <w:lang w:val="en-US" w:eastAsia="zh-CN"/>
              </w:rPr>
              <w:t>25</w:t>
            </w:r>
            <w:r>
              <w:rPr>
                <w:rFonts w:hint="eastAsia" w:ascii="宋体" w:hAnsi="宋体" w:cs="宋体"/>
                <w:b w:val="0"/>
                <w:bCs/>
                <w:lang w:eastAsia="zh-CN"/>
              </w:rPr>
              <w:t>）：</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5" w:type="dxa"/>
            <w:noWrap w:val="0"/>
            <w:vAlign w:val="center"/>
          </w:tcPr>
          <w:p>
            <w:pPr>
              <w:spacing w:line="400" w:lineRule="exact"/>
              <w:jc w:val="center"/>
              <w:rPr>
                <w:rFonts w:hint="eastAsia" w:ascii="宋体" w:hAnsi="宋体" w:eastAsia="宋体"/>
                <w:bCs/>
                <w:sz w:val="24"/>
                <w:lang w:val="en-US" w:eastAsia="zh-CN"/>
              </w:rPr>
            </w:pPr>
            <w:r>
              <w:rPr>
                <w:rFonts w:hint="eastAsia" w:ascii="宋体" w:hAnsi="宋体"/>
                <w:bCs/>
                <w:sz w:val="24"/>
                <w:lang w:val="en-US" w:eastAsia="zh-CN"/>
              </w:rPr>
              <w:t>9</w:t>
            </w:r>
          </w:p>
        </w:tc>
        <w:tc>
          <w:tcPr>
            <w:tcW w:w="4971" w:type="dxa"/>
            <w:gridSpan w:val="2"/>
            <w:noWrap w:val="0"/>
            <w:vAlign w:val="center"/>
          </w:tcPr>
          <w:p>
            <w:pPr>
              <w:spacing w:line="400" w:lineRule="exact"/>
              <w:jc w:val="left"/>
              <w:rPr>
                <w:rFonts w:hint="eastAsia" w:ascii="宋体" w:hAnsi="宋体"/>
                <w:bCs/>
                <w:sz w:val="24"/>
                <w:lang w:val="en-US" w:eastAsia="zh-CN"/>
              </w:rPr>
            </w:pPr>
            <w:r>
              <w:rPr>
                <w:rFonts w:hint="eastAsia" w:ascii="宋体" w:hAnsi="宋体"/>
                <w:bCs/>
                <w:sz w:val="24"/>
                <w:lang w:val="en-US" w:eastAsia="zh-CN"/>
              </w:rPr>
              <w:t>钢材</w:t>
            </w:r>
            <w:r>
              <w:rPr>
                <w:rFonts w:hint="eastAsia" w:ascii="宋体" w:hAnsi="宋体"/>
                <w:b w:val="0"/>
                <w:bCs/>
                <w:sz w:val="24"/>
                <w:lang w:val="en-US" w:eastAsia="zh-CN"/>
              </w:rPr>
              <w:t>（</w:t>
            </w:r>
            <w:r>
              <w:rPr>
                <w:rFonts w:hint="eastAsia" w:ascii="宋体" w:hAnsi="宋体" w:eastAsia="宋体" w:cs="宋体"/>
                <w:b w:val="0"/>
                <w:bCs/>
              </w:rPr>
              <w:t>螺纹φ</w:t>
            </w:r>
            <w:r>
              <w:rPr>
                <w:rFonts w:hint="eastAsia" w:ascii="宋体" w:hAnsi="宋体" w:cs="宋体"/>
                <w:b w:val="0"/>
                <w:bCs/>
                <w:lang w:val="en-US" w:eastAsia="zh-CN"/>
              </w:rPr>
              <w:t>28</w:t>
            </w:r>
            <w:r>
              <w:rPr>
                <w:rFonts w:hint="eastAsia" w:ascii="宋体" w:hAnsi="宋体" w:cs="宋体"/>
                <w:b w:val="0"/>
                <w:bCs/>
                <w:lang w:eastAsia="zh-CN"/>
              </w:rPr>
              <w:t>）：</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5" w:type="dxa"/>
            <w:noWrap w:val="0"/>
            <w:vAlign w:val="center"/>
          </w:tcPr>
          <w:p>
            <w:pPr>
              <w:spacing w:line="400" w:lineRule="exact"/>
              <w:jc w:val="center"/>
              <w:rPr>
                <w:rFonts w:hint="default" w:ascii="宋体" w:hAnsi="宋体" w:eastAsia="宋体"/>
                <w:bCs/>
                <w:sz w:val="24"/>
                <w:lang w:val="en-US" w:eastAsia="zh-CN"/>
              </w:rPr>
            </w:pPr>
            <w:r>
              <w:rPr>
                <w:rFonts w:hint="eastAsia" w:ascii="宋体" w:hAnsi="宋体"/>
                <w:bCs/>
                <w:sz w:val="24"/>
                <w:lang w:val="en-US" w:eastAsia="zh-CN"/>
              </w:rPr>
              <w:t>10</w:t>
            </w:r>
          </w:p>
        </w:tc>
        <w:tc>
          <w:tcPr>
            <w:tcW w:w="4971" w:type="dxa"/>
            <w:gridSpan w:val="2"/>
            <w:noWrap w:val="0"/>
            <w:vAlign w:val="center"/>
          </w:tcPr>
          <w:p>
            <w:pPr>
              <w:spacing w:line="400" w:lineRule="exact"/>
              <w:jc w:val="left"/>
              <w:rPr>
                <w:rFonts w:hint="eastAsia" w:ascii="宋体" w:hAnsi="宋体"/>
                <w:bCs/>
                <w:sz w:val="24"/>
                <w:lang w:val="en-US" w:eastAsia="zh-CN"/>
              </w:rPr>
            </w:pPr>
            <w:r>
              <w:rPr>
                <w:rFonts w:hint="eastAsia" w:ascii="宋体" w:hAnsi="宋体"/>
                <w:bCs/>
                <w:sz w:val="24"/>
                <w:lang w:val="en-US" w:eastAsia="zh-CN"/>
              </w:rPr>
              <w:t>钢材</w:t>
            </w:r>
            <w:r>
              <w:rPr>
                <w:rFonts w:hint="eastAsia" w:ascii="宋体" w:hAnsi="宋体"/>
                <w:b w:val="0"/>
                <w:bCs/>
                <w:sz w:val="24"/>
                <w:lang w:val="en-US" w:eastAsia="zh-CN"/>
              </w:rPr>
              <w:t>（</w:t>
            </w:r>
            <w:r>
              <w:rPr>
                <w:rFonts w:hint="eastAsia" w:ascii="宋体" w:hAnsi="宋体" w:eastAsia="宋体" w:cs="宋体"/>
                <w:b w:val="0"/>
                <w:bCs/>
              </w:rPr>
              <w:t>螺纹φ</w:t>
            </w:r>
            <w:r>
              <w:rPr>
                <w:rFonts w:hint="eastAsia" w:ascii="宋体" w:hAnsi="宋体" w:cs="宋体"/>
                <w:b w:val="0"/>
                <w:bCs/>
                <w:lang w:val="en-US" w:eastAsia="zh-CN"/>
              </w:rPr>
              <w:t>32</w:t>
            </w:r>
            <w:r>
              <w:rPr>
                <w:rFonts w:hint="eastAsia" w:ascii="宋体" w:hAnsi="宋体" w:cs="宋体"/>
                <w:b w:val="0"/>
                <w:bCs/>
                <w:lang w:eastAsia="zh-CN"/>
              </w:rPr>
              <w:t>）：</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5" w:type="dxa"/>
            <w:noWrap w:val="0"/>
            <w:vAlign w:val="center"/>
          </w:tcPr>
          <w:p>
            <w:pPr>
              <w:spacing w:line="400" w:lineRule="exact"/>
              <w:jc w:val="center"/>
              <w:rPr>
                <w:rFonts w:hint="default" w:ascii="宋体" w:hAnsi="宋体" w:eastAsia="宋体" w:cs="Times New Roman"/>
                <w:bCs/>
                <w:kern w:val="2"/>
                <w:sz w:val="24"/>
                <w:szCs w:val="24"/>
                <w:lang w:val="en-US" w:eastAsia="zh-CN" w:bidi="ar-SA"/>
              </w:rPr>
            </w:pPr>
            <w:r>
              <w:rPr>
                <w:rFonts w:hint="eastAsia" w:ascii="宋体" w:hAnsi="宋体"/>
                <w:bCs/>
                <w:sz w:val="24"/>
                <w:lang w:val="en-US" w:eastAsia="zh-CN"/>
              </w:rPr>
              <w:t>11</w:t>
            </w:r>
          </w:p>
        </w:tc>
        <w:tc>
          <w:tcPr>
            <w:tcW w:w="4971" w:type="dxa"/>
            <w:gridSpan w:val="2"/>
            <w:noWrap w:val="0"/>
            <w:vAlign w:val="center"/>
          </w:tcPr>
          <w:p>
            <w:pPr>
              <w:spacing w:line="400" w:lineRule="exact"/>
              <w:jc w:val="left"/>
              <w:rPr>
                <w:rFonts w:hint="eastAsia" w:ascii="宋体" w:hAnsi="宋体" w:eastAsia="宋体" w:cs="Times New Roman"/>
                <w:bCs/>
                <w:kern w:val="2"/>
                <w:sz w:val="24"/>
                <w:szCs w:val="24"/>
                <w:lang w:val="zh-TW" w:eastAsia="zh-TW" w:bidi="ar-SA"/>
              </w:rPr>
            </w:pPr>
            <w:r>
              <w:rPr>
                <w:rFonts w:hint="eastAsia" w:ascii="宋体" w:hAnsi="宋体" w:eastAsia="宋体" w:cs="宋体"/>
                <w:b w:val="0"/>
                <w:bCs w:val="0"/>
                <w:lang w:val="zh-TW" w:eastAsia="zh-TW"/>
              </w:rPr>
              <w:t>工字钢</w:t>
            </w:r>
            <w:r>
              <w:rPr>
                <w:rFonts w:hint="eastAsia" w:ascii="宋体" w:hAnsi="宋体" w:cs="宋体"/>
                <w:b w:val="0"/>
                <w:bCs w:val="0"/>
                <w:lang w:val="zh-TW" w:eastAsia="zh-CN"/>
              </w:rPr>
              <w:t>（</w:t>
            </w:r>
            <w:r>
              <w:rPr>
                <w:rFonts w:hint="eastAsia" w:ascii="宋体" w:hAnsi="宋体" w:cs="宋体"/>
                <w:b w:val="0"/>
                <w:bCs w:val="0"/>
                <w:lang w:val="en-US" w:eastAsia="zh-CN"/>
              </w:rPr>
              <w:t>#</w:t>
            </w:r>
            <w:r>
              <w:rPr>
                <w:rFonts w:ascii="宋体" w:hAnsi="宋体" w:eastAsia="宋体" w:cs="宋体"/>
                <w:b w:val="0"/>
                <w:bCs w:val="0"/>
              </w:rPr>
              <w:t>25</w:t>
            </w:r>
            <w:r>
              <w:rPr>
                <w:rFonts w:hint="eastAsia" w:ascii="宋体" w:hAnsi="宋体" w:cs="宋体"/>
                <w:b w:val="0"/>
                <w:bCs w:val="0"/>
                <w:lang w:eastAsia="zh-CN"/>
              </w:rPr>
              <w:t>）：</w:t>
            </w:r>
          </w:p>
        </w:tc>
        <w:tc>
          <w:tcPr>
            <w:tcW w:w="5193" w:type="dxa"/>
            <w:noWrap w:val="0"/>
            <w:vAlign w:val="center"/>
          </w:tcPr>
          <w:p>
            <w:pPr>
              <w:spacing w:line="400" w:lineRule="exact"/>
              <w:jc w:val="center"/>
              <w:rPr>
                <w:rFonts w:ascii="宋体" w:hAnsi="宋体" w:eastAsia="宋体" w:cs="Times New Roman"/>
                <w:bCs/>
                <w:kern w:val="2"/>
                <w:sz w:val="21"/>
                <w:szCs w:val="24"/>
                <w:lang w:val="en-US" w:eastAsia="zh-CN" w:bidi="ar-SA"/>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5" w:type="dxa"/>
            <w:noWrap w:val="0"/>
            <w:vAlign w:val="center"/>
          </w:tcPr>
          <w:p>
            <w:pPr>
              <w:spacing w:line="400" w:lineRule="exact"/>
              <w:jc w:val="center"/>
              <w:rPr>
                <w:rFonts w:hint="default" w:ascii="宋体" w:hAnsi="宋体" w:eastAsia="宋体"/>
                <w:bCs/>
                <w:sz w:val="24"/>
                <w:lang w:val="en-US" w:eastAsia="zh-CN"/>
              </w:rPr>
            </w:pPr>
            <w:r>
              <w:rPr>
                <w:rFonts w:hint="eastAsia" w:ascii="宋体" w:hAnsi="宋体"/>
                <w:bCs/>
                <w:sz w:val="24"/>
                <w:lang w:val="en-US" w:eastAsia="zh-CN"/>
              </w:rPr>
              <w:t>12</w:t>
            </w:r>
          </w:p>
        </w:tc>
        <w:tc>
          <w:tcPr>
            <w:tcW w:w="4971" w:type="dxa"/>
            <w:gridSpan w:val="2"/>
            <w:noWrap w:val="0"/>
            <w:vAlign w:val="center"/>
          </w:tcPr>
          <w:p>
            <w:pPr>
              <w:spacing w:line="400" w:lineRule="exact"/>
              <w:jc w:val="left"/>
              <w:rPr>
                <w:rFonts w:hint="eastAsia" w:ascii="宋体" w:hAnsi="宋体" w:eastAsia="宋体"/>
                <w:b w:val="0"/>
                <w:bCs w:val="0"/>
                <w:sz w:val="24"/>
                <w:lang w:val="en-US" w:eastAsia="zh-CN"/>
              </w:rPr>
            </w:pPr>
            <w:r>
              <w:rPr>
                <w:rFonts w:hint="eastAsia" w:ascii="宋体" w:hAnsi="宋体" w:eastAsia="宋体" w:cs="宋体"/>
                <w:b w:val="0"/>
                <w:bCs w:val="0"/>
                <w:lang w:val="zh-TW" w:eastAsia="zh-TW"/>
              </w:rPr>
              <w:t>工字钢</w:t>
            </w:r>
            <w:r>
              <w:rPr>
                <w:rFonts w:hint="eastAsia" w:ascii="宋体" w:hAnsi="宋体" w:cs="宋体"/>
                <w:b w:val="0"/>
                <w:bCs w:val="0"/>
                <w:lang w:val="zh-TW" w:eastAsia="zh-CN"/>
              </w:rPr>
              <w:t>（</w:t>
            </w:r>
            <w:r>
              <w:rPr>
                <w:rFonts w:hint="eastAsia" w:ascii="宋体" w:hAnsi="宋体" w:cs="宋体"/>
                <w:b w:val="0"/>
                <w:bCs w:val="0"/>
                <w:lang w:val="en-US" w:eastAsia="zh-CN"/>
              </w:rPr>
              <w:t>#</w:t>
            </w:r>
            <w:r>
              <w:rPr>
                <w:rFonts w:ascii="宋体" w:hAnsi="宋体" w:eastAsia="宋体" w:cs="宋体"/>
                <w:b w:val="0"/>
                <w:bCs w:val="0"/>
              </w:rPr>
              <w:t>2</w:t>
            </w:r>
            <w:r>
              <w:rPr>
                <w:rFonts w:hint="eastAsia" w:ascii="宋体" w:hAnsi="宋体" w:cs="宋体"/>
                <w:b w:val="0"/>
                <w:bCs w:val="0"/>
                <w:lang w:val="en-US" w:eastAsia="zh-CN"/>
              </w:rPr>
              <w:t>0</w:t>
            </w:r>
            <w:r>
              <w:rPr>
                <w:rFonts w:hint="eastAsia" w:ascii="宋体" w:hAnsi="宋体" w:cs="宋体"/>
                <w:b w:val="0"/>
                <w:bCs w:val="0"/>
                <w:lang w:eastAsia="zh-CN"/>
              </w:rPr>
              <w:t>）：</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5" w:type="dxa"/>
            <w:noWrap w:val="0"/>
            <w:vAlign w:val="center"/>
          </w:tcPr>
          <w:p>
            <w:pPr>
              <w:spacing w:line="400" w:lineRule="exact"/>
              <w:jc w:val="center"/>
              <w:rPr>
                <w:rFonts w:hint="default" w:ascii="宋体" w:hAnsi="宋体" w:eastAsia="宋体"/>
                <w:bCs/>
                <w:sz w:val="24"/>
                <w:lang w:val="en-US" w:eastAsia="zh-CN"/>
              </w:rPr>
            </w:pPr>
            <w:r>
              <w:rPr>
                <w:rFonts w:hint="eastAsia" w:ascii="宋体" w:hAnsi="宋体"/>
                <w:bCs/>
                <w:sz w:val="24"/>
                <w:lang w:val="en-US" w:eastAsia="zh-CN"/>
              </w:rPr>
              <w:t>13</w:t>
            </w:r>
          </w:p>
        </w:tc>
        <w:tc>
          <w:tcPr>
            <w:tcW w:w="4971" w:type="dxa"/>
            <w:gridSpan w:val="2"/>
            <w:noWrap w:val="0"/>
            <w:vAlign w:val="center"/>
          </w:tcPr>
          <w:p>
            <w:pPr>
              <w:spacing w:line="400" w:lineRule="exact"/>
              <w:jc w:val="left"/>
              <w:rPr>
                <w:rFonts w:hint="default" w:ascii="宋体" w:hAnsi="宋体" w:eastAsia="宋体"/>
                <w:b w:val="0"/>
                <w:bCs w:val="0"/>
                <w:sz w:val="24"/>
                <w:lang w:val="en-US" w:eastAsia="zh-CN"/>
              </w:rPr>
            </w:pPr>
            <w:r>
              <w:rPr>
                <w:rFonts w:hint="eastAsia" w:ascii="宋体" w:hAnsi="宋体" w:eastAsia="宋体" w:cs="宋体"/>
                <w:b w:val="0"/>
                <w:bCs w:val="0"/>
                <w:lang w:val="zh-TW" w:eastAsia="zh-TW"/>
              </w:rPr>
              <w:t>工字钢</w:t>
            </w:r>
            <w:r>
              <w:rPr>
                <w:rFonts w:hint="eastAsia" w:ascii="宋体" w:hAnsi="宋体" w:cs="宋体"/>
                <w:b w:val="0"/>
                <w:bCs w:val="0"/>
                <w:lang w:val="zh-TW" w:eastAsia="zh-CN"/>
              </w:rPr>
              <w:t>（</w:t>
            </w:r>
            <w:r>
              <w:rPr>
                <w:rFonts w:hint="eastAsia" w:ascii="宋体" w:hAnsi="宋体" w:cs="宋体"/>
                <w:b w:val="0"/>
                <w:bCs w:val="0"/>
                <w:lang w:val="en-US" w:eastAsia="zh-CN"/>
              </w:rPr>
              <w:t>#18）：</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5" w:type="dxa"/>
            <w:noWrap w:val="0"/>
            <w:vAlign w:val="center"/>
          </w:tcPr>
          <w:p>
            <w:pPr>
              <w:spacing w:line="400" w:lineRule="exact"/>
              <w:jc w:val="center"/>
              <w:rPr>
                <w:rFonts w:hint="default" w:ascii="宋体" w:hAnsi="宋体" w:eastAsia="宋体"/>
                <w:bCs/>
                <w:sz w:val="24"/>
                <w:lang w:val="en-US" w:eastAsia="zh-CN"/>
              </w:rPr>
            </w:pPr>
            <w:r>
              <w:rPr>
                <w:rFonts w:hint="eastAsia" w:ascii="宋体" w:hAnsi="宋体"/>
                <w:bCs/>
                <w:sz w:val="24"/>
                <w:lang w:val="en-US" w:eastAsia="zh-CN"/>
              </w:rPr>
              <w:t>14</w:t>
            </w:r>
          </w:p>
        </w:tc>
        <w:tc>
          <w:tcPr>
            <w:tcW w:w="4971" w:type="dxa"/>
            <w:gridSpan w:val="2"/>
            <w:noWrap w:val="0"/>
            <w:vAlign w:val="center"/>
          </w:tcPr>
          <w:p>
            <w:pPr>
              <w:spacing w:line="400" w:lineRule="exact"/>
              <w:jc w:val="left"/>
              <w:rPr>
                <w:rFonts w:hint="default" w:ascii="宋体" w:hAnsi="宋体" w:eastAsia="宋体"/>
                <w:b w:val="0"/>
                <w:bCs w:val="0"/>
                <w:sz w:val="24"/>
                <w:lang w:val="en-US" w:eastAsia="zh-CN"/>
              </w:rPr>
            </w:pPr>
            <w:r>
              <w:rPr>
                <w:rFonts w:hint="eastAsia" w:ascii="宋体" w:hAnsi="宋体" w:eastAsia="宋体" w:cs="宋体"/>
                <w:b w:val="0"/>
                <w:bCs w:val="0"/>
                <w:lang w:val="zh-TW" w:eastAsia="zh-TW"/>
              </w:rPr>
              <w:t>工字钢</w:t>
            </w:r>
            <w:r>
              <w:rPr>
                <w:rFonts w:hint="eastAsia" w:ascii="宋体" w:hAnsi="宋体" w:cs="宋体"/>
                <w:b w:val="0"/>
                <w:bCs w:val="0"/>
                <w:lang w:val="zh-TW" w:eastAsia="zh-CN"/>
              </w:rPr>
              <w:t>（</w:t>
            </w:r>
            <w:r>
              <w:rPr>
                <w:rFonts w:hint="eastAsia" w:ascii="宋体" w:hAnsi="宋体" w:cs="宋体"/>
                <w:b w:val="0"/>
                <w:bCs w:val="0"/>
                <w:lang w:val="en-US" w:eastAsia="zh-CN"/>
              </w:rPr>
              <w:t>#16）：</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5" w:type="dxa"/>
            <w:noWrap w:val="0"/>
            <w:vAlign w:val="center"/>
          </w:tcPr>
          <w:p>
            <w:pPr>
              <w:spacing w:line="400" w:lineRule="exact"/>
              <w:jc w:val="center"/>
              <w:rPr>
                <w:rFonts w:hint="default" w:ascii="宋体" w:hAnsi="宋体" w:eastAsia="宋体"/>
                <w:bCs/>
                <w:sz w:val="24"/>
                <w:lang w:val="en-US" w:eastAsia="zh-CN"/>
              </w:rPr>
            </w:pPr>
            <w:r>
              <w:rPr>
                <w:rFonts w:hint="eastAsia" w:ascii="宋体" w:hAnsi="宋体"/>
                <w:bCs/>
                <w:sz w:val="24"/>
                <w:lang w:val="en-US" w:eastAsia="zh-CN"/>
              </w:rPr>
              <w:t>15</w:t>
            </w:r>
          </w:p>
        </w:tc>
        <w:tc>
          <w:tcPr>
            <w:tcW w:w="4971" w:type="dxa"/>
            <w:gridSpan w:val="2"/>
            <w:noWrap w:val="0"/>
            <w:vAlign w:val="center"/>
          </w:tcPr>
          <w:p>
            <w:pPr>
              <w:spacing w:line="400" w:lineRule="exact"/>
              <w:jc w:val="left"/>
              <w:rPr>
                <w:rFonts w:hint="eastAsia" w:ascii="宋体" w:hAnsi="宋体"/>
                <w:b w:val="0"/>
                <w:bCs w:val="0"/>
                <w:sz w:val="24"/>
                <w:lang w:val="en-US" w:eastAsia="zh-CN"/>
              </w:rPr>
            </w:pPr>
            <w:r>
              <w:rPr>
                <w:rFonts w:hint="eastAsia" w:ascii="宋体" w:hAnsi="宋体" w:eastAsia="宋体" w:cs="宋体"/>
                <w:b w:val="0"/>
                <w:bCs w:val="0"/>
                <w:lang w:val="zh-TW"/>
              </w:rPr>
              <w:t>钢板</w:t>
            </w:r>
            <w:r>
              <w:rPr>
                <w:rFonts w:hint="eastAsia" w:ascii="宋体" w:hAnsi="宋体" w:cs="宋体"/>
                <w:b w:val="0"/>
                <w:bCs w:val="0"/>
                <w:lang w:val="zh-TW" w:eastAsia="zh-CN"/>
              </w:rPr>
              <w:t>（</w:t>
            </w:r>
            <w:r>
              <w:rPr>
                <w:rFonts w:hint="eastAsia" w:ascii="宋体" w:hAnsi="宋体" w:cs="宋体"/>
                <w:b w:val="0"/>
                <w:bCs w:val="0"/>
                <w:lang w:val="en-US" w:eastAsia="zh-CN"/>
              </w:rPr>
              <w:t>#16）：</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95" w:type="dxa"/>
            <w:noWrap w:val="0"/>
            <w:vAlign w:val="center"/>
          </w:tcPr>
          <w:p>
            <w:pPr>
              <w:spacing w:line="400" w:lineRule="exact"/>
              <w:jc w:val="center"/>
              <w:rPr>
                <w:rFonts w:hint="default" w:ascii="宋体" w:hAnsi="宋体" w:eastAsia="宋体"/>
                <w:bCs/>
                <w:sz w:val="24"/>
                <w:lang w:val="en-US" w:eastAsia="zh-CN"/>
              </w:rPr>
            </w:pPr>
            <w:r>
              <w:rPr>
                <w:rFonts w:hint="eastAsia" w:ascii="宋体" w:hAnsi="宋体"/>
                <w:bCs/>
                <w:sz w:val="24"/>
                <w:lang w:val="en-US" w:eastAsia="zh-CN"/>
              </w:rPr>
              <w:t>16</w:t>
            </w:r>
          </w:p>
        </w:tc>
        <w:tc>
          <w:tcPr>
            <w:tcW w:w="4971" w:type="dxa"/>
            <w:gridSpan w:val="2"/>
            <w:noWrap w:val="0"/>
            <w:vAlign w:val="center"/>
          </w:tcPr>
          <w:p>
            <w:pPr>
              <w:spacing w:line="400" w:lineRule="exact"/>
              <w:jc w:val="left"/>
              <w:rPr>
                <w:rFonts w:hint="eastAsia" w:ascii="宋体" w:hAnsi="宋体"/>
                <w:b w:val="0"/>
                <w:bCs w:val="0"/>
                <w:sz w:val="24"/>
                <w:lang w:val="en-US" w:eastAsia="zh-CN"/>
              </w:rPr>
            </w:pPr>
            <w:r>
              <w:rPr>
                <w:rFonts w:hint="eastAsia" w:ascii="宋体" w:hAnsi="宋体" w:eastAsia="宋体" w:cs="宋体"/>
                <w:b w:val="0"/>
                <w:bCs w:val="0"/>
                <w:lang w:val="zh-TW"/>
              </w:rPr>
              <w:t>钢管</w:t>
            </w:r>
            <w:r>
              <w:rPr>
                <w:rFonts w:hint="eastAsia" w:ascii="宋体" w:hAnsi="宋体" w:cs="宋体"/>
                <w:b w:val="0"/>
                <w:bCs w:val="0"/>
                <w:lang w:val="zh-TW" w:eastAsia="zh-CN"/>
              </w:rPr>
              <w:t>（</w:t>
            </w:r>
            <w:r>
              <w:rPr>
                <w:rFonts w:hint="eastAsia" w:ascii="宋体" w:hAnsi="宋体" w:eastAsia="宋体" w:cs="宋体"/>
                <w:b w:val="0"/>
                <w:bCs/>
              </w:rPr>
              <w:t>φ</w:t>
            </w:r>
            <w:r>
              <w:rPr>
                <w:rFonts w:hint="eastAsia" w:ascii="宋体" w:hAnsi="宋体" w:cs="宋体"/>
                <w:b w:val="0"/>
                <w:bCs/>
                <w:lang w:val="en-US" w:eastAsia="zh-CN"/>
              </w:rPr>
              <w:t>40</w:t>
            </w:r>
            <w:r>
              <w:rPr>
                <w:rFonts w:hint="eastAsia" w:ascii="宋体" w:hAnsi="宋体" w:cs="宋体"/>
                <w:b w:val="0"/>
                <w:bCs w:val="0"/>
                <w:lang w:val="en-US" w:eastAsia="zh-CN"/>
              </w:rPr>
              <w:t>）：</w:t>
            </w:r>
          </w:p>
        </w:tc>
        <w:tc>
          <w:tcPr>
            <w:tcW w:w="5193" w:type="dxa"/>
            <w:noWrap w:val="0"/>
            <w:vAlign w:val="center"/>
          </w:tcPr>
          <w:p>
            <w:pPr>
              <w:spacing w:line="400" w:lineRule="exact"/>
              <w:jc w:val="center"/>
              <w:rPr>
                <w:rFonts w:ascii="宋体" w:hAnsi="宋体"/>
                <w:bCs/>
                <w:sz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731" w:type="dxa"/>
            <w:gridSpan w:val="2"/>
            <w:noWrap w:val="0"/>
            <w:vAlign w:val="center"/>
          </w:tcPr>
          <w:p>
            <w:pPr>
              <w:spacing w:line="400" w:lineRule="exact"/>
              <w:jc w:val="center"/>
              <w:rPr>
                <w:rFonts w:hint="eastAsia" w:ascii="宋体" w:hAnsi="宋体"/>
                <w:bCs/>
                <w:sz w:val="24"/>
                <w:lang w:val="en-US" w:eastAsia="zh-CN"/>
              </w:rPr>
            </w:pPr>
            <w:r>
              <w:rPr>
                <w:rFonts w:hint="eastAsia" w:ascii="宋体" w:hAnsi="宋体"/>
                <w:bCs/>
                <w:sz w:val="24"/>
              </w:rPr>
              <w:t>合计</w:t>
            </w:r>
          </w:p>
        </w:tc>
        <w:tc>
          <w:tcPr>
            <w:tcW w:w="7028" w:type="dxa"/>
            <w:gridSpan w:val="2"/>
            <w:noWrap w:val="0"/>
            <w:vAlign w:val="center"/>
          </w:tcPr>
          <w:p>
            <w:pPr>
              <w:spacing w:line="400" w:lineRule="exact"/>
              <w:jc w:val="both"/>
              <w:rPr>
                <w:rFonts w:ascii="宋体" w:hAnsi="宋体"/>
                <w:bCs/>
                <w:sz w:val="24"/>
              </w:rPr>
            </w:pPr>
            <w:r>
              <w:rPr>
                <w:rFonts w:hint="eastAsia" w:ascii="宋体" w:hAnsi="宋体"/>
                <w:bCs/>
                <w:sz w:val="24"/>
              </w:rPr>
              <w:t>小写：¥</w:t>
            </w:r>
            <w:r>
              <w:rPr>
                <w:rFonts w:hint="eastAsia" w:ascii="宋体" w:hAnsi="宋体"/>
                <w:bCs/>
                <w:sz w:val="24"/>
                <w:u w:val="single"/>
              </w:rPr>
              <w:t xml:space="preserve">             </w:t>
            </w:r>
            <w:r>
              <w:rPr>
                <w:rFonts w:hint="eastAsia" w:ascii="宋体" w:hAnsi="宋体"/>
                <w:bCs/>
                <w:sz w:val="24"/>
              </w:rPr>
              <w:t>，大写：人民币</w:t>
            </w:r>
            <w:r>
              <w:rPr>
                <w:rFonts w:hint="eastAsia" w:ascii="宋体" w:hAnsi="宋体"/>
                <w:bCs/>
                <w:sz w:val="24"/>
                <w:u w:val="single"/>
              </w:rPr>
              <w:t xml:space="preserve">                 </w:t>
            </w:r>
          </w:p>
        </w:tc>
      </w:tr>
    </w:tbl>
    <w:p>
      <w:pPr>
        <w:spacing w:line="360" w:lineRule="auto"/>
        <w:ind w:firstLine="420" w:firstLineChars="200"/>
        <w:rPr>
          <w:rFonts w:hint="eastAsia" w:ascii="宋体" w:hAnsi="宋体"/>
        </w:rPr>
      </w:pPr>
      <w:r>
        <w:rPr>
          <w:rFonts w:hint="eastAsia" w:ascii="宋体" w:hAnsi="宋体"/>
        </w:rPr>
        <w:t>注：</w:t>
      </w:r>
      <w:r>
        <w:rPr>
          <w:rFonts w:hint="eastAsia" w:ascii="宋体" w:hAnsi="宋体"/>
          <w:lang w:val="en-US" w:eastAsia="zh-CN"/>
        </w:rPr>
        <w:t>1</w:t>
      </w:r>
      <w:r>
        <w:rPr>
          <w:rFonts w:hint="eastAsia" w:ascii="宋体" w:hAnsi="宋体"/>
        </w:rPr>
        <w:t>.报价只能按一种方案报价，否则视为无效。</w:t>
      </w:r>
    </w:p>
    <w:p>
      <w:pPr>
        <w:spacing w:line="360" w:lineRule="auto"/>
        <w:ind w:firstLine="840" w:firstLineChars="400"/>
        <w:rPr>
          <w:rFonts w:hint="eastAsia" w:ascii="宋体" w:hAnsi="宋体"/>
        </w:rPr>
      </w:pPr>
      <w:r>
        <w:rPr>
          <w:rFonts w:hint="eastAsia" w:ascii="宋体" w:hAnsi="宋体"/>
          <w:lang w:val="en-US" w:eastAsia="zh-CN"/>
        </w:rPr>
        <w:t>2</w:t>
      </w:r>
      <w:r>
        <w:rPr>
          <w:rFonts w:hint="eastAsia" w:ascii="宋体" w:hAnsi="宋体"/>
        </w:rPr>
        <w:t>.报价合计必须与投标函的投标报价一致。</w:t>
      </w:r>
    </w:p>
    <w:p>
      <w:pPr>
        <w:tabs>
          <w:tab w:val="left" w:pos="7140"/>
        </w:tabs>
        <w:spacing w:line="360" w:lineRule="auto"/>
        <w:ind w:firstLine="735" w:firstLineChars="350"/>
        <w:rPr>
          <w:rFonts w:ascii="宋体"/>
          <w:szCs w:val="21"/>
        </w:rPr>
      </w:pPr>
      <w:r>
        <w:rPr>
          <w:rFonts w:ascii="宋体" w:hAnsi="宋体" w:cs="宋体"/>
          <w:szCs w:val="21"/>
        </w:rPr>
        <w:tab/>
      </w:r>
      <w:r>
        <w:rPr>
          <w:rFonts w:hint="eastAsia" w:ascii="宋体" w:hAnsi="宋体"/>
          <w:szCs w:val="21"/>
        </w:rPr>
        <w:t>投标人名称：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（盖单位公章）</w:t>
      </w:r>
    </w:p>
    <w:p>
      <w:pPr>
        <w:spacing w:line="420" w:lineRule="exac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法定代表人或者授权委托人：</w:t>
      </w:r>
      <w:r>
        <w:rPr>
          <w:rFonts w:ascii="宋体" w:hAnsi="宋体"/>
          <w:szCs w:val="21"/>
          <w:u w:val="single"/>
        </w:rPr>
        <w:t xml:space="preserve">          </w:t>
      </w:r>
      <w:r>
        <w:rPr>
          <w:rFonts w:hint="eastAsia" w:ascii="宋体" w:hAnsi="宋体"/>
          <w:szCs w:val="21"/>
        </w:rPr>
        <w:t>（签字或盖章）</w:t>
      </w:r>
    </w:p>
    <w:p>
      <w:pPr>
        <w:topLinePunct/>
        <w:snapToGrid w:val="0"/>
        <w:spacing w:line="440" w:lineRule="exact"/>
        <w:ind w:firstLine="420" w:firstLineChars="200"/>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日</w:t>
      </w:r>
    </w:p>
    <w:p>
      <w:pPr>
        <w:sectPr>
          <w:headerReference r:id="rId10" w:type="default"/>
          <w:footerReference r:id="rId11" w:type="default"/>
          <w:pgSz w:w="16838" w:h="11906" w:orient="landscape"/>
          <w:pgMar w:top="1797" w:right="1440" w:bottom="1797" w:left="1440" w:header="851" w:footer="992" w:gutter="0"/>
          <w:pgNumType w:fmt="numberInDash"/>
          <w:cols w:space="720" w:num="1"/>
          <w:docGrid w:type="linesAndChars" w:linePitch="312" w:charSpace="0"/>
        </w:sectPr>
      </w:pPr>
    </w:p>
    <w:p>
      <w:pPr>
        <w:pStyle w:val="4"/>
        <w:snapToGrid w:val="0"/>
        <w:spacing w:before="240" w:after="120" w:line="240" w:lineRule="auto"/>
        <w:jc w:val="center"/>
        <w:rPr>
          <w:rFonts w:ascii="宋体" w:hAnsi="宋体" w:eastAsia="宋体" w:cs="宋体"/>
          <w:bCs w:val="0"/>
          <w:sz w:val="24"/>
          <w:szCs w:val="24"/>
        </w:rPr>
      </w:pPr>
      <w:bookmarkStart w:id="536" w:name="_Toc22394"/>
      <w:bookmarkStart w:id="537" w:name="_Toc16175994"/>
      <w:r>
        <w:rPr>
          <w:rFonts w:hint="eastAsia" w:ascii="宋体" w:hAnsi="宋体" w:eastAsia="宋体" w:cs="宋体"/>
          <w:bCs w:val="0"/>
          <w:sz w:val="24"/>
          <w:szCs w:val="24"/>
        </w:rPr>
        <w:t>五、投标人综合概况表</w:t>
      </w:r>
      <w:bookmarkEnd w:id="536"/>
      <w:bookmarkEnd w:id="537"/>
    </w:p>
    <w:p>
      <w:pPr>
        <w:pStyle w:val="83"/>
        <w:ind w:firstLine="0" w:firstLineChars="0"/>
        <w:jc w:val="center"/>
        <w:rPr>
          <w:rFonts w:ascii="宋体" w:cs="宋体"/>
          <w:b/>
          <w:bCs/>
          <w:sz w:val="24"/>
        </w:rPr>
      </w:pPr>
    </w:p>
    <w:p>
      <w:pPr>
        <w:spacing w:line="360" w:lineRule="auto"/>
        <w:rPr>
          <w:rFonts w:hint="eastAsia" w:ascii="宋体" w:hAnsi="宋体" w:cs="宋体"/>
          <w:szCs w:val="21"/>
          <w:u w:val="single"/>
        </w:rPr>
      </w:pPr>
      <w:r>
        <w:rPr>
          <w:rFonts w:hint="eastAsia" w:ascii="宋体" w:hAnsi="宋体" w:cs="宋体"/>
          <w:szCs w:val="21"/>
        </w:rPr>
        <w:t>项目名称：</w:t>
      </w:r>
      <w:r>
        <w:rPr>
          <w:rFonts w:hint="eastAsia" w:ascii="宋体" w:hAnsi="宋体" w:cs="宋体"/>
          <w:bCs/>
          <w:szCs w:val="21"/>
          <w:u w:val="single"/>
        </w:rPr>
        <w:t>S103济枣线山亭区凫城至市中区曾店段改建工程钢材采购</w:t>
      </w:r>
    </w:p>
    <w:p>
      <w:pPr>
        <w:spacing w:line="360" w:lineRule="auto"/>
        <w:rPr>
          <w:rFonts w:hint="eastAsia" w:ascii="宋体" w:cs="宋体"/>
          <w:sz w:val="22"/>
          <w:szCs w:val="22"/>
          <w:u w:val="single"/>
        </w:rPr>
      </w:pPr>
      <w:r>
        <w:rPr>
          <w:rFonts w:hint="eastAsia" w:ascii="宋体" w:hAnsi="宋体" w:cs="宋体"/>
          <w:szCs w:val="21"/>
        </w:rPr>
        <w:t>招标编号：</w:t>
      </w:r>
      <w:r>
        <w:rPr>
          <w:rFonts w:hint="eastAsia" w:ascii="宋体" w:hAnsi="宋体" w:cs="宋体"/>
          <w:szCs w:val="21"/>
          <w:u w:val="single"/>
        </w:rPr>
        <w:t>CGC2021-JS-CL-14</w:t>
      </w:r>
    </w:p>
    <w:tbl>
      <w:tblPr>
        <w:tblStyle w:val="40"/>
        <w:tblpPr w:leftFromText="180" w:rightFromText="180" w:vertAnchor="text" w:horzAnchor="margin" w:tblpXSpec="center" w:tblpY="47"/>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693"/>
        <w:gridCol w:w="721"/>
        <w:gridCol w:w="208"/>
        <w:gridCol w:w="2022"/>
        <w:gridCol w:w="290"/>
        <w:gridCol w:w="1270"/>
        <w:gridCol w:w="677"/>
        <w:gridCol w:w="223"/>
        <w:gridCol w:w="1878"/>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3" w:type="dxa"/>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单位名称</w:t>
            </w:r>
          </w:p>
        </w:tc>
        <w:tc>
          <w:tcPr>
            <w:tcW w:w="295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223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组织机构代码</w:t>
            </w:r>
          </w:p>
        </w:tc>
        <w:tc>
          <w:tcPr>
            <w:tcW w:w="2101" w:type="dxa"/>
            <w:gridSpan w:val="2"/>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3" w:type="dxa"/>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注册地址</w:t>
            </w:r>
          </w:p>
        </w:tc>
        <w:tc>
          <w:tcPr>
            <w:tcW w:w="295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223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注册登记号</w:t>
            </w:r>
          </w:p>
        </w:tc>
        <w:tc>
          <w:tcPr>
            <w:tcW w:w="2101" w:type="dxa"/>
            <w:gridSpan w:val="2"/>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3" w:type="dxa"/>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单位性质</w:t>
            </w:r>
          </w:p>
        </w:tc>
        <w:tc>
          <w:tcPr>
            <w:tcW w:w="295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223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pacing w:val="30"/>
                <w:szCs w:val="21"/>
              </w:rPr>
            </w:pPr>
            <w:r>
              <w:rPr>
                <w:rFonts w:hint="eastAsia" w:ascii="宋体" w:hAnsi="宋体" w:cs="宋体"/>
                <w:szCs w:val="21"/>
              </w:rPr>
              <w:t>税务登记证号</w:t>
            </w:r>
          </w:p>
        </w:tc>
        <w:tc>
          <w:tcPr>
            <w:tcW w:w="2101" w:type="dxa"/>
            <w:gridSpan w:val="2"/>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3" w:type="dxa"/>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经营范围</w:t>
            </w:r>
          </w:p>
        </w:tc>
        <w:tc>
          <w:tcPr>
            <w:tcW w:w="295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223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pacing w:val="34"/>
                <w:szCs w:val="21"/>
              </w:rPr>
              <w:t>注册资本</w:t>
            </w:r>
          </w:p>
        </w:tc>
        <w:tc>
          <w:tcPr>
            <w:tcW w:w="2101" w:type="dxa"/>
            <w:gridSpan w:val="2"/>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3" w:type="dxa"/>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分支机构地址</w:t>
            </w:r>
          </w:p>
        </w:tc>
        <w:tc>
          <w:tcPr>
            <w:tcW w:w="295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223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营业期限</w:t>
            </w:r>
          </w:p>
        </w:tc>
        <w:tc>
          <w:tcPr>
            <w:tcW w:w="2101" w:type="dxa"/>
            <w:gridSpan w:val="2"/>
            <w:tcBorders>
              <w:top w:val="single" w:color="auto" w:sz="4" w:space="0"/>
              <w:left w:val="single" w:color="auto" w:sz="4" w:space="0"/>
              <w:bottom w:val="single" w:color="auto" w:sz="4" w:space="0"/>
            </w:tcBorders>
            <w:noWrap w:val="0"/>
            <w:vAlign w:val="center"/>
          </w:tcPr>
          <w:p>
            <w:pPr>
              <w:jc w:val="center"/>
              <w:rPr>
                <w:rFonts w:asci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14" w:type="dxa"/>
            <w:gridSpan w:val="2"/>
            <w:tcBorders>
              <w:top w:val="single" w:color="auto" w:sz="4" w:space="0"/>
              <w:bottom w:val="single" w:color="auto" w:sz="4" w:space="0"/>
            </w:tcBorders>
            <w:noWrap w:val="0"/>
            <w:vAlign w:val="center"/>
          </w:tcPr>
          <w:p>
            <w:pPr>
              <w:jc w:val="center"/>
              <w:rPr>
                <w:rFonts w:ascii="宋体" w:cs="宋体"/>
                <w:szCs w:val="21"/>
              </w:rPr>
            </w:pPr>
            <w:r>
              <w:rPr>
                <w:rFonts w:hint="eastAsia" w:ascii="宋体" w:hAnsi="宋体" w:cs="宋体"/>
                <w:szCs w:val="21"/>
              </w:rPr>
              <w:t>资质证号、范围和等级</w:t>
            </w:r>
          </w:p>
        </w:tc>
        <w:tc>
          <w:tcPr>
            <w:tcW w:w="6568" w:type="dxa"/>
            <w:gridSpan w:val="7"/>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14" w:type="dxa"/>
            <w:gridSpan w:val="2"/>
            <w:tcBorders>
              <w:top w:val="single" w:color="auto" w:sz="4" w:space="0"/>
              <w:bottom w:val="single" w:color="auto" w:sz="4" w:space="0"/>
            </w:tcBorders>
            <w:noWrap w:val="0"/>
            <w:vAlign w:val="center"/>
          </w:tcPr>
          <w:p>
            <w:pPr>
              <w:jc w:val="center"/>
              <w:rPr>
                <w:rFonts w:ascii="宋体" w:cs="宋体"/>
                <w:szCs w:val="21"/>
              </w:rPr>
            </w:pPr>
            <w:r>
              <w:rPr>
                <w:rFonts w:ascii="宋体" w:hAnsi="宋体" w:cs="宋体"/>
                <w:szCs w:val="21"/>
              </w:rPr>
              <w:t>ISO9000</w:t>
            </w:r>
            <w:r>
              <w:rPr>
                <w:rFonts w:hint="eastAsia" w:ascii="宋体" w:hAnsi="宋体" w:cs="宋体"/>
                <w:szCs w:val="21"/>
              </w:rPr>
              <w:t>认证号、范围</w:t>
            </w:r>
          </w:p>
        </w:tc>
        <w:tc>
          <w:tcPr>
            <w:tcW w:w="6568" w:type="dxa"/>
            <w:gridSpan w:val="7"/>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414" w:type="dxa"/>
            <w:gridSpan w:val="2"/>
            <w:tcBorders>
              <w:top w:val="single" w:color="auto" w:sz="4" w:space="0"/>
            </w:tcBorders>
            <w:noWrap w:val="0"/>
            <w:vAlign w:val="center"/>
          </w:tcPr>
          <w:p>
            <w:pPr>
              <w:jc w:val="center"/>
              <w:rPr>
                <w:rFonts w:ascii="宋体" w:cs="宋体"/>
                <w:szCs w:val="21"/>
              </w:rPr>
            </w:pPr>
            <w:r>
              <w:rPr>
                <w:rFonts w:hint="eastAsia" w:ascii="宋体" w:hAnsi="宋体" w:cs="宋体"/>
                <w:szCs w:val="21"/>
              </w:rPr>
              <w:t>其他资质证号、范围和等级</w:t>
            </w:r>
          </w:p>
        </w:tc>
        <w:tc>
          <w:tcPr>
            <w:tcW w:w="6568" w:type="dxa"/>
            <w:gridSpan w:val="7"/>
            <w:tcBorders>
              <w:top w:val="single" w:color="auto" w:sz="4" w:space="0"/>
              <w:left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414" w:type="dxa"/>
            <w:gridSpan w:val="2"/>
            <w:tcBorders>
              <w:top w:val="single" w:color="auto" w:sz="4" w:space="0"/>
              <w:bottom w:val="single" w:color="auto" w:sz="4" w:space="0"/>
            </w:tcBorders>
            <w:noWrap w:val="0"/>
            <w:vAlign w:val="center"/>
          </w:tcPr>
          <w:p>
            <w:pPr>
              <w:jc w:val="center"/>
              <w:rPr>
                <w:rFonts w:ascii="宋体" w:cs="宋体"/>
                <w:szCs w:val="21"/>
              </w:rPr>
            </w:pPr>
            <w:r>
              <w:rPr>
                <w:rFonts w:hint="eastAsia" w:ascii="宋体" w:hAnsi="宋体" w:cs="宋体"/>
                <w:szCs w:val="21"/>
              </w:rPr>
              <w:t>员工数量</w:t>
            </w:r>
          </w:p>
        </w:tc>
        <w:tc>
          <w:tcPr>
            <w:tcW w:w="6568" w:type="dxa"/>
            <w:gridSpan w:val="7"/>
            <w:tcBorders>
              <w:top w:val="single" w:color="auto" w:sz="4" w:space="0"/>
              <w:left w:val="single" w:color="auto" w:sz="4" w:space="0"/>
              <w:bottom w:val="single" w:color="auto" w:sz="4" w:space="0"/>
            </w:tcBorders>
            <w:noWrap w:val="0"/>
            <w:vAlign w:val="center"/>
          </w:tcPr>
          <w:p>
            <w:pPr>
              <w:jc w:val="center"/>
              <w:rPr>
                <w:rFonts w:ascii="宋体" w:cs="宋体"/>
                <w:szCs w:val="21"/>
              </w:rPr>
            </w:pPr>
            <w:r>
              <w:rPr>
                <w:rFonts w:hint="eastAsia" w:ascii="宋体" w:hAnsi="宋体" w:cs="宋体"/>
                <w:szCs w:val="21"/>
              </w:rPr>
              <w:t>共</w:t>
            </w:r>
            <w:r>
              <w:rPr>
                <w:rFonts w:ascii="宋体" w:hAnsi="宋体" w:cs="宋体"/>
                <w:szCs w:val="21"/>
                <w:u w:val="single"/>
              </w:rPr>
              <w:t xml:space="preserve">  </w:t>
            </w:r>
            <w:r>
              <w:rPr>
                <w:rFonts w:hint="eastAsia" w:ascii="宋体" w:hAnsi="宋体" w:cs="宋体"/>
                <w:szCs w:val="21"/>
              </w:rPr>
              <w:t>人，其中，高级职称</w:t>
            </w:r>
            <w:r>
              <w:rPr>
                <w:rFonts w:ascii="宋体" w:hAnsi="宋体" w:cs="宋体"/>
                <w:szCs w:val="21"/>
                <w:u w:val="single"/>
              </w:rPr>
              <w:t xml:space="preserve">   </w:t>
            </w:r>
            <w:r>
              <w:rPr>
                <w:rFonts w:hint="eastAsia" w:ascii="宋体" w:hAnsi="宋体" w:cs="宋体"/>
                <w:szCs w:val="21"/>
              </w:rPr>
              <w:t>人，中级职称</w:t>
            </w:r>
            <w:r>
              <w:rPr>
                <w:rFonts w:ascii="宋体" w:hAnsi="宋体" w:cs="宋体"/>
                <w:szCs w:val="21"/>
                <w:u w:val="single"/>
              </w:rPr>
              <w:t xml:space="preserve">  </w:t>
            </w:r>
            <w:r>
              <w:rPr>
                <w:rFonts w:hint="eastAsia" w:ascii="宋体" w:hAnsi="宋体" w:cs="宋体"/>
                <w:szCs w:val="21"/>
              </w:rPr>
              <w:t>人</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14" w:type="dxa"/>
            <w:gridSpan w:val="2"/>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联络人</w:t>
            </w: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手机号码</w:t>
            </w:r>
          </w:p>
        </w:tc>
        <w:tc>
          <w:tcPr>
            <w:tcW w:w="2778" w:type="dxa"/>
            <w:gridSpan w:val="3"/>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14" w:type="dxa"/>
            <w:gridSpan w:val="2"/>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联系电话</w:t>
            </w: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传真</w:t>
            </w:r>
          </w:p>
        </w:tc>
        <w:tc>
          <w:tcPr>
            <w:tcW w:w="2778" w:type="dxa"/>
            <w:gridSpan w:val="3"/>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82" w:type="dxa"/>
            <w:gridSpan w:val="9"/>
            <w:tcBorders>
              <w:top w:val="single" w:color="auto" w:sz="8" w:space="0"/>
              <w:bottom w:val="single" w:color="auto" w:sz="4" w:space="0"/>
            </w:tcBorders>
            <w:noWrap w:val="0"/>
            <w:vAlign w:val="center"/>
          </w:tcPr>
          <w:p>
            <w:pPr>
              <w:jc w:val="center"/>
              <w:rPr>
                <w:rFonts w:ascii="宋体" w:cs="宋体"/>
                <w:szCs w:val="21"/>
              </w:rPr>
            </w:pPr>
            <w:r>
              <w:rPr>
                <w:rFonts w:hint="eastAsia" w:ascii="宋体" w:hAnsi="宋体" w:cs="宋体"/>
                <w:szCs w:val="21"/>
              </w:rPr>
              <w:t>法</w:t>
            </w:r>
            <w:r>
              <w:rPr>
                <w:rFonts w:ascii="宋体" w:hAnsi="宋体" w:cs="宋体"/>
                <w:szCs w:val="21"/>
              </w:rPr>
              <w:t xml:space="preserve"> </w:t>
            </w:r>
            <w:r>
              <w:rPr>
                <w:rFonts w:hint="eastAsia" w:ascii="宋体" w:hAnsi="宋体" w:cs="宋体"/>
                <w:szCs w:val="21"/>
              </w:rPr>
              <w:t>定</w:t>
            </w:r>
            <w:r>
              <w:rPr>
                <w:rFonts w:ascii="宋体" w:hAnsi="宋体" w:cs="宋体"/>
                <w:szCs w:val="21"/>
              </w:rPr>
              <w:t xml:space="preserve"> </w:t>
            </w:r>
            <w:r>
              <w:rPr>
                <w:rFonts w:hint="eastAsia" w:ascii="宋体" w:hAnsi="宋体" w:cs="宋体"/>
                <w:szCs w:val="21"/>
              </w:rPr>
              <w:t>代</w:t>
            </w:r>
            <w:r>
              <w:rPr>
                <w:rFonts w:ascii="宋体" w:hAnsi="宋体" w:cs="宋体"/>
                <w:szCs w:val="21"/>
              </w:rPr>
              <w:t xml:space="preserve"> </w:t>
            </w:r>
            <w:r>
              <w:rPr>
                <w:rFonts w:hint="eastAsia" w:ascii="宋体" w:hAnsi="宋体" w:cs="宋体"/>
                <w:szCs w:val="21"/>
              </w:rPr>
              <w:t>表</w:t>
            </w:r>
            <w:r>
              <w:rPr>
                <w:rFonts w:ascii="宋体" w:hAnsi="宋体" w:cs="宋体"/>
                <w:szCs w:val="21"/>
              </w:rPr>
              <w:t xml:space="preserve"> </w:t>
            </w:r>
            <w:r>
              <w:rPr>
                <w:rFonts w:hint="eastAsia" w:ascii="宋体" w:hAnsi="宋体" w:cs="宋体"/>
                <w:szCs w:val="21"/>
              </w:rPr>
              <w:t>人</w:t>
            </w:r>
            <w:r>
              <w:rPr>
                <w:rFonts w:ascii="宋体" w:hAnsi="宋体" w:cs="宋体"/>
                <w:szCs w:val="21"/>
              </w:rPr>
              <w:t xml:space="preserve"> </w:t>
            </w:r>
            <w:r>
              <w:rPr>
                <w:rFonts w:hint="eastAsia" w:ascii="宋体" w:hAnsi="宋体" w:cs="宋体"/>
                <w:szCs w:val="21"/>
              </w:rPr>
              <w:t>基</w:t>
            </w:r>
            <w:r>
              <w:rPr>
                <w:rFonts w:ascii="宋体" w:hAnsi="宋体" w:cs="宋体"/>
                <w:szCs w:val="21"/>
              </w:rPr>
              <w:t xml:space="preserve"> </w:t>
            </w:r>
            <w:r>
              <w:rPr>
                <w:rFonts w:hint="eastAsia" w:ascii="宋体" w:hAnsi="宋体" w:cs="宋体"/>
                <w:szCs w:val="21"/>
              </w:rPr>
              <w:t>本</w:t>
            </w:r>
            <w:r>
              <w:rPr>
                <w:rFonts w:ascii="宋体" w:hAnsi="宋体" w:cs="宋体"/>
                <w:szCs w:val="21"/>
              </w:rPr>
              <w:t xml:space="preserve"> </w:t>
            </w:r>
            <w:r>
              <w:rPr>
                <w:rFonts w:hint="eastAsia" w:ascii="宋体" w:hAnsi="宋体" w:cs="宋体"/>
                <w:szCs w:val="21"/>
              </w:rPr>
              <w:t>情</w:t>
            </w:r>
            <w:r>
              <w:rPr>
                <w:rFonts w:ascii="宋体" w:hAnsi="宋体" w:cs="宋体"/>
                <w:szCs w:val="21"/>
              </w:rPr>
              <w:t xml:space="preserve"> </w:t>
            </w:r>
            <w:r>
              <w:rPr>
                <w:rFonts w:hint="eastAsia" w:ascii="宋体" w:hAnsi="宋体" w:cs="宋体"/>
                <w:szCs w:val="21"/>
              </w:rPr>
              <w:t>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3" w:type="dxa"/>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姓</w:t>
            </w:r>
            <w:r>
              <w:rPr>
                <w:rFonts w:ascii="宋体" w:hAnsi="宋体" w:cs="宋体"/>
                <w:szCs w:val="21"/>
              </w:rPr>
              <w:t xml:space="preserve">  </w:t>
            </w:r>
            <w:r>
              <w:rPr>
                <w:rFonts w:hint="eastAsia" w:ascii="宋体" w:hAnsi="宋体" w:cs="宋体"/>
                <w:szCs w:val="21"/>
              </w:rPr>
              <w:t>名</w:t>
            </w:r>
          </w:p>
        </w:tc>
        <w:tc>
          <w:tcPr>
            <w:tcW w:w="9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23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身份证号码</w:t>
            </w:r>
          </w:p>
        </w:tc>
        <w:tc>
          <w:tcPr>
            <w:tcW w:w="4048" w:type="dxa"/>
            <w:gridSpan w:val="4"/>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3" w:type="dxa"/>
            <w:tcBorders>
              <w:top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职</w:t>
            </w:r>
            <w:r>
              <w:rPr>
                <w:rFonts w:ascii="宋体" w:hAnsi="宋体" w:cs="宋体"/>
                <w:szCs w:val="21"/>
              </w:rPr>
              <w:t xml:space="preserve">  </w:t>
            </w:r>
            <w:r>
              <w:rPr>
                <w:rFonts w:hint="eastAsia" w:ascii="宋体" w:hAnsi="宋体" w:cs="宋体"/>
                <w:szCs w:val="21"/>
              </w:rPr>
              <w:t>务</w:t>
            </w:r>
          </w:p>
        </w:tc>
        <w:tc>
          <w:tcPr>
            <w:tcW w:w="9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23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职</w:t>
            </w:r>
            <w:r>
              <w:rPr>
                <w:rFonts w:ascii="宋体" w:hAnsi="宋体" w:cs="宋体"/>
                <w:szCs w:val="21"/>
              </w:rPr>
              <w:t xml:space="preserve">   </w:t>
            </w:r>
            <w:r>
              <w:rPr>
                <w:rFonts w:hint="eastAsia" w:ascii="宋体" w:hAnsi="宋体" w:cs="宋体"/>
                <w:szCs w:val="21"/>
              </w:rPr>
              <w:t>称</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szCs w:val="21"/>
              </w:rPr>
            </w:pPr>
            <w:r>
              <w:rPr>
                <w:rFonts w:hint="eastAsia" w:ascii="宋体" w:hAnsi="宋体" w:cs="宋体"/>
                <w:szCs w:val="21"/>
              </w:rPr>
              <w:t>学</w:t>
            </w:r>
            <w:r>
              <w:rPr>
                <w:rFonts w:ascii="宋体" w:hAnsi="宋体" w:cs="宋体"/>
                <w:szCs w:val="21"/>
              </w:rPr>
              <w:t xml:space="preserve"> </w:t>
            </w:r>
            <w:r>
              <w:rPr>
                <w:rFonts w:hint="eastAsia" w:ascii="宋体" w:hAnsi="宋体" w:cs="宋体"/>
                <w:szCs w:val="21"/>
              </w:rPr>
              <w:t>历</w:t>
            </w:r>
          </w:p>
        </w:tc>
        <w:tc>
          <w:tcPr>
            <w:tcW w:w="1878" w:type="dxa"/>
            <w:tcBorders>
              <w:top w:val="single" w:color="auto" w:sz="4" w:space="0"/>
              <w:left w:val="single" w:color="auto" w:sz="4" w:space="0"/>
              <w:bottom w:val="single" w:color="auto" w:sz="4" w:space="0"/>
            </w:tcBorders>
            <w:noWrap w:val="0"/>
            <w:vAlign w:val="center"/>
          </w:tcPr>
          <w:p>
            <w:pPr>
              <w:jc w:val="center"/>
              <w:rPr>
                <w:rFonts w:ascii="宋体" w:cs="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1744" w:hRule="atLeast"/>
        </w:trPr>
        <w:tc>
          <w:tcPr>
            <w:tcW w:w="8982" w:type="dxa"/>
            <w:gridSpan w:val="9"/>
            <w:tcBorders>
              <w:top w:val="single" w:color="auto" w:sz="4" w:space="0"/>
              <w:bottom w:val="single" w:color="auto" w:sz="4" w:space="0"/>
              <w:right w:val="single" w:color="auto" w:sz="4" w:space="0"/>
            </w:tcBorders>
            <w:noWrap w:val="0"/>
            <w:vAlign w:val="center"/>
          </w:tcPr>
          <w:p>
            <w:pPr>
              <w:rPr>
                <w:rFonts w:ascii="宋体" w:cs="宋体"/>
                <w:szCs w:val="21"/>
              </w:rPr>
            </w:pPr>
            <w:r>
              <w:rPr>
                <w:rFonts w:hint="eastAsia" w:ascii="宋体" w:hAnsi="宋体" w:cs="宋体"/>
                <w:szCs w:val="21"/>
              </w:rPr>
              <w:t>投标单位简介（请简要说明公司情况，包括成立时间、业务范围、专业构成、规模）：</w:t>
            </w:r>
          </w:p>
          <w:p>
            <w:pPr>
              <w:rPr>
                <w:rFonts w:ascii="宋体" w:cs="宋体"/>
                <w:szCs w:val="21"/>
              </w:rPr>
            </w:pPr>
          </w:p>
          <w:p>
            <w:pPr>
              <w:rPr>
                <w:rFonts w:ascii="宋体" w:cs="宋体"/>
                <w:szCs w:val="21"/>
              </w:rPr>
            </w:pPr>
          </w:p>
          <w:p>
            <w:pPr>
              <w:ind w:firstLine="6090" w:firstLineChars="2900"/>
              <w:rPr>
                <w:rFonts w:ascii="宋体" w:cs="宋体"/>
                <w:szCs w:val="21"/>
              </w:rPr>
            </w:pPr>
            <w:r>
              <w:rPr>
                <w:rFonts w:hint="eastAsia" w:ascii="宋体" w:hAnsi="宋体" w:cs="宋体"/>
                <w:szCs w:val="21"/>
              </w:rPr>
              <w:t>（单位盖章）</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1561" w:hRule="atLeast"/>
        </w:trPr>
        <w:tc>
          <w:tcPr>
            <w:tcW w:w="8982" w:type="dxa"/>
            <w:gridSpan w:val="9"/>
            <w:tcBorders>
              <w:top w:val="single" w:color="auto" w:sz="4" w:space="0"/>
              <w:bottom w:val="single" w:color="auto" w:sz="4" w:space="0"/>
              <w:right w:val="single" w:color="auto" w:sz="4" w:space="0"/>
            </w:tcBorders>
            <w:noWrap w:val="0"/>
            <w:vAlign w:val="top"/>
          </w:tcPr>
          <w:p>
            <w:pPr>
              <w:rPr>
                <w:rFonts w:ascii="宋体" w:cs="宋体"/>
                <w:szCs w:val="21"/>
              </w:rPr>
            </w:pPr>
            <w:r>
              <w:rPr>
                <w:rFonts w:hint="eastAsia" w:ascii="宋体" w:hAnsi="宋体" w:cs="宋体"/>
                <w:szCs w:val="21"/>
              </w:rPr>
              <w:t>投标单位完成本项目所独有的有利条件及相关的专业特长：</w:t>
            </w:r>
          </w:p>
        </w:tc>
      </w:tr>
    </w:tbl>
    <w:p>
      <w:pPr>
        <w:pStyle w:val="4"/>
        <w:snapToGrid w:val="0"/>
        <w:spacing w:before="240" w:after="120" w:line="240" w:lineRule="auto"/>
        <w:jc w:val="center"/>
        <w:rPr>
          <w:rFonts w:ascii="宋体" w:hAnsi="宋体" w:eastAsia="宋体" w:cs="宋体"/>
          <w:bCs w:val="0"/>
          <w:sz w:val="24"/>
          <w:szCs w:val="24"/>
        </w:rPr>
      </w:pPr>
      <w:r>
        <w:rPr>
          <w:rFonts w:ascii="宋体" w:hAnsi="宋体" w:eastAsia="宋体" w:cs="宋体"/>
          <w:bCs w:val="0"/>
          <w:sz w:val="24"/>
          <w:szCs w:val="24"/>
        </w:rPr>
        <w:br w:type="page"/>
      </w:r>
      <w:bookmarkStart w:id="538" w:name="_Toc25840"/>
      <w:bookmarkStart w:id="539" w:name="_Toc16175995"/>
      <w:r>
        <w:rPr>
          <w:rFonts w:hint="eastAsia" w:ascii="宋体" w:hAnsi="宋体" w:eastAsia="宋体" w:cs="宋体"/>
          <w:bCs w:val="0"/>
          <w:sz w:val="24"/>
          <w:szCs w:val="24"/>
        </w:rPr>
        <w:t>六、资格审查资料</w:t>
      </w:r>
      <w:bookmarkEnd w:id="538"/>
      <w:bookmarkEnd w:id="539"/>
    </w:p>
    <w:p>
      <w:pPr>
        <w:pStyle w:val="36"/>
        <w:shd w:val="clear" w:color="auto" w:fill="FFFFFF"/>
        <w:spacing w:before="0" w:beforeAutospacing="0" w:after="0" w:afterAutospacing="0" w:line="380" w:lineRule="exact"/>
        <w:ind w:firstLine="420" w:firstLineChars="200"/>
        <w:rPr>
          <w:rFonts w:hint="eastAsia" w:cs="Times New Roman"/>
          <w:kern w:val="2"/>
          <w:sz w:val="21"/>
          <w:szCs w:val="21"/>
        </w:rPr>
      </w:pPr>
      <w:r>
        <w:rPr>
          <w:rFonts w:cs="Times New Roman"/>
          <w:kern w:val="2"/>
          <w:sz w:val="21"/>
          <w:szCs w:val="21"/>
        </w:rPr>
        <w:t>1</w:t>
      </w:r>
      <w:r>
        <w:rPr>
          <w:rFonts w:hint="eastAsia" w:cs="Times New Roman"/>
          <w:kern w:val="2"/>
          <w:sz w:val="21"/>
          <w:szCs w:val="21"/>
        </w:rPr>
        <w:t>、投标人应为中华人民共和国境内依法注册的独立企业法人机构或其他组织，具有有效的营业执照或事业单位法人证书，应包含相应的经营范围或业务范围（提供有效的营业执照或事业单位法人证书）；</w:t>
      </w:r>
      <w:r>
        <w:rPr>
          <w:rFonts w:hint="eastAsia" w:cs="Times New Roman"/>
          <w:b/>
          <w:kern w:val="2"/>
          <w:sz w:val="21"/>
          <w:szCs w:val="21"/>
        </w:rPr>
        <w:t>投标文件中应附：营业执照、组织机构代码证、税务登记证（前述营业执照、组织机构代码证、税务登记证已三证合一的，则需提供具有统一社会信用代码的营业执照副本）、事业单位法人证书复印件并加盖单位公章。</w:t>
      </w:r>
    </w:p>
    <w:p>
      <w:pPr>
        <w:pStyle w:val="36"/>
        <w:shd w:val="clear" w:color="auto" w:fill="FFFFFF"/>
        <w:spacing w:before="0" w:beforeAutospacing="0" w:after="0" w:afterAutospacing="0" w:line="360" w:lineRule="auto"/>
        <w:ind w:firstLine="420" w:firstLineChars="200"/>
        <w:rPr>
          <w:rFonts w:hint="eastAsia" w:cs="Times New Roman"/>
          <w:kern w:val="2"/>
          <w:sz w:val="21"/>
          <w:szCs w:val="21"/>
        </w:rPr>
      </w:pPr>
      <w:r>
        <w:rPr>
          <w:rFonts w:hint="eastAsia" w:cs="Times New Roman"/>
          <w:kern w:val="2"/>
          <w:sz w:val="21"/>
          <w:szCs w:val="21"/>
        </w:rPr>
        <w:t>2、符合《中华人民共和国招标投标法》对投标人其他资质要求；</w:t>
      </w:r>
    </w:p>
    <w:p>
      <w:pPr>
        <w:spacing w:line="360" w:lineRule="auto"/>
        <w:ind w:firstLine="420" w:firstLineChars="200"/>
        <w:rPr>
          <w:rFonts w:ascii="宋体" w:hAnsi="宋体"/>
          <w:kern w:val="0"/>
          <w:szCs w:val="21"/>
        </w:rPr>
      </w:pPr>
      <w:r>
        <w:rPr>
          <w:rFonts w:hint="eastAsia" w:ascii="宋体" w:hAnsi="宋体"/>
          <w:kern w:val="0"/>
          <w:szCs w:val="21"/>
        </w:rPr>
        <w:t>3、投标人须为未被列入“信用中国”网站（</w:t>
      </w:r>
      <w:r>
        <w:rPr>
          <w:rFonts w:ascii="宋体" w:hAnsi="宋体"/>
          <w:kern w:val="0"/>
          <w:szCs w:val="21"/>
        </w:rPr>
        <w:t>www.creditchina.gov.cn</w:t>
      </w:r>
      <w:r>
        <w:rPr>
          <w:rFonts w:hint="eastAsia" w:ascii="宋体" w:hAnsi="宋体"/>
          <w:kern w:val="0"/>
          <w:szCs w:val="21"/>
        </w:rPr>
        <w:t>）记录失信被执行人或重大税收违法案件当事人名单或政府采购严重违法失信行为记录名单；不处于中国政府采购网（</w:t>
      </w:r>
      <w:r>
        <w:rPr>
          <w:rFonts w:ascii="宋体" w:hAnsi="宋体"/>
          <w:kern w:val="0"/>
          <w:szCs w:val="21"/>
        </w:rPr>
        <w:t>www.ccgp.gov.cn</w:t>
      </w:r>
      <w:r>
        <w:rPr>
          <w:rFonts w:hint="eastAsia" w:ascii="宋体" w:hAnsi="宋体"/>
          <w:kern w:val="0"/>
          <w:szCs w:val="21"/>
        </w:rPr>
        <w:t>）政府采购严重违法失信行为信息记录中的禁止参加政府采购活动期间等的方可参加本项目的投标。</w:t>
      </w:r>
      <w:r>
        <w:rPr>
          <w:rFonts w:hint="eastAsia"/>
          <w:szCs w:val="21"/>
        </w:rPr>
        <w:t>时间以投标截止日前五个工作日至投标截止日查询结果为准，投标人须将查询后的网页截图加盖单位公章后装入投标文件内，查询结果以开标当天现场查询结果为准</w:t>
      </w:r>
      <w:r>
        <w:rPr>
          <w:rFonts w:hint="eastAsia"/>
          <w:b/>
          <w:szCs w:val="21"/>
        </w:rPr>
        <w:t>。</w:t>
      </w:r>
    </w:p>
    <w:p>
      <w:pPr>
        <w:spacing w:line="360" w:lineRule="auto"/>
        <w:ind w:firstLine="420" w:firstLineChars="200"/>
        <w:rPr>
          <w:rFonts w:hint="eastAsia"/>
          <w:b/>
          <w:szCs w:val="21"/>
        </w:rPr>
      </w:pPr>
      <w:r>
        <w:rPr>
          <w:rFonts w:hint="eastAsia" w:ascii="宋体" w:hAnsi="宋体"/>
          <w:kern w:val="0"/>
          <w:szCs w:val="21"/>
        </w:rPr>
        <w:t>4、单位负责人为同一人或者存在控股、管理关系的不同单位，不得同时参加投标；</w:t>
      </w:r>
      <w:r>
        <w:rPr>
          <w:rFonts w:hint="eastAsia"/>
          <w:b/>
          <w:szCs w:val="21"/>
        </w:rPr>
        <w:t>投标文件中应附：相应承诺，格式自拟。</w:t>
      </w:r>
    </w:p>
    <w:p>
      <w:pPr>
        <w:spacing w:line="360" w:lineRule="auto"/>
        <w:ind w:firstLine="420" w:firstLineChars="200"/>
        <w:rPr>
          <w:rFonts w:ascii="宋体" w:hAnsi="宋体"/>
          <w:kern w:val="0"/>
          <w:szCs w:val="21"/>
        </w:rPr>
      </w:pPr>
      <w:r>
        <w:rPr>
          <w:rFonts w:hint="eastAsia" w:cs="Times New Roman"/>
          <w:kern w:val="2"/>
          <w:sz w:val="21"/>
          <w:szCs w:val="21"/>
        </w:rPr>
        <w:t>5、本项目不接受联合体投标。</w:t>
      </w:r>
    </w:p>
    <w:p>
      <w:pPr>
        <w:pStyle w:val="36"/>
        <w:shd w:val="clear" w:color="auto" w:fill="FFFFFF"/>
        <w:spacing w:before="0" w:beforeAutospacing="0" w:after="0" w:afterAutospacing="0" w:line="360" w:lineRule="auto"/>
        <w:ind w:firstLine="420" w:firstLineChars="200"/>
        <w:rPr>
          <w:rFonts w:hint="eastAsia" w:cs="Times New Roman"/>
          <w:kern w:val="2"/>
          <w:sz w:val="21"/>
          <w:szCs w:val="21"/>
        </w:rPr>
      </w:pPr>
    </w:p>
    <w:p>
      <w:pPr>
        <w:spacing w:line="360" w:lineRule="auto"/>
        <w:ind w:firstLine="422" w:firstLineChars="200"/>
        <w:rPr>
          <w:rFonts w:hint="eastAsia" w:ascii="宋体"/>
          <w:b/>
          <w:szCs w:val="21"/>
        </w:rPr>
      </w:pPr>
      <w:r>
        <w:rPr>
          <w:rFonts w:hint="eastAsia"/>
          <w:b/>
          <w:szCs w:val="21"/>
        </w:rPr>
        <w:t>网页截图图例如下：</w:t>
      </w: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r>
        <w:rPr>
          <w:rFonts w:hint="eastAsia" w:ascii="宋体"/>
          <w:b/>
          <w:szCs w:val="21"/>
        </w:rPr>
        <w:t xml:space="preserve">图例1： </w:t>
      </w:r>
    </w:p>
    <w:p>
      <w:pPr>
        <w:spacing w:line="360" w:lineRule="auto"/>
        <w:ind w:firstLine="422" w:firstLineChars="200"/>
        <w:rPr>
          <w:rFonts w:hint="eastAsia" w:ascii="宋体"/>
          <w:b/>
          <w:szCs w:val="21"/>
        </w:rPr>
      </w:pPr>
      <w:r>
        <w:rPr>
          <w:rFonts w:hint="eastAsia" w:ascii="宋体"/>
          <w:b/>
          <w:szCs w:val="21"/>
        </w:rPr>
        <w:drawing>
          <wp:inline distT="0" distB="0" distL="114300" distR="114300">
            <wp:extent cx="5057775" cy="7115175"/>
            <wp:effectExtent l="0" t="0" r="9525" b="9525"/>
            <wp:docPr id="7" name="图片 1" descr="微信图片_2020031810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微信图片_20200318102758"/>
                    <pic:cNvPicPr>
                      <a:picLocks noChangeAspect="1"/>
                    </pic:cNvPicPr>
                  </pic:nvPicPr>
                  <pic:blipFill>
                    <a:blip r:embed="rId17"/>
                    <a:stretch>
                      <a:fillRect/>
                    </a:stretch>
                  </pic:blipFill>
                  <pic:spPr>
                    <a:xfrm>
                      <a:off x="0" y="0"/>
                      <a:ext cx="5057775" cy="7115175"/>
                    </a:xfrm>
                    <a:prstGeom prst="rect">
                      <a:avLst/>
                    </a:prstGeom>
                    <a:noFill/>
                    <a:ln>
                      <a:noFill/>
                    </a:ln>
                  </pic:spPr>
                </pic:pic>
              </a:graphicData>
            </a:graphic>
          </wp:inline>
        </w:drawing>
      </w:r>
      <w:r>
        <w:rPr>
          <w:rFonts w:hint="eastAsia" w:ascii="宋体"/>
          <w:b/>
          <w:szCs w:val="21"/>
        </w:rPr>
        <w:drawing>
          <wp:inline distT="0" distB="0" distL="114300" distR="114300">
            <wp:extent cx="5274310" cy="3795395"/>
            <wp:effectExtent l="0" t="0" r="2540" b="14605"/>
            <wp:docPr id="8" name="图片 2" descr="微信图片_2020031810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微信图片_20200318102803"/>
                    <pic:cNvPicPr>
                      <a:picLocks noChangeAspect="1"/>
                    </pic:cNvPicPr>
                  </pic:nvPicPr>
                  <pic:blipFill>
                    <a:blip r:embed="rId18"/>
                    <a:stretch>
                      <a:fillRect/>
                    </a:stretch>
                  </pic:blipFill>
                  <pic:spPr>
                    <a:xfrm>
                      <a:off x="0" y="0"/>
                      <a:ext cx="5274310" cy="3795395"/>
                    </a:xfrm>
                    <a:prstGeom prst="rect">
                      <a:avLst/>
                    </a:prstGeom>
                    <a:noFill/>
                    <a:ln>
                      <a:noFill/>
                    </a:ln>
                  </pic:spPr>
                </pic:pic>
              </a:graphicData>
            </a:graphic>
          </wp:inline>
        </w:drawing>
      </w:r>
    </w:p>
    <w:p>
      <w:pPr>
        <w:spacing w:line="360" w:lineRule="auto"/>
        <w:rPr>
          <w:rFonts w:hint="eastAsia" w:ascii="宋体"/>
          <w:b/>
          <w:szCs w:val="21"/>
        </w:rPr>
      </w:pPr>
    </w:p>
    <w:p>
      <w:pPr>
        <w:spacing w:line="360" w:lineRule="auto"/>
        <w:rPr>
          <w:rFonts w:ascii="宋体"/>
          <w:b/>
          <w:szCs w:val="21"/>
        </w:rPr>
      </w:pPr>
      <w:r>
        <w:rPr>
          <w:rFonts w:hint="eastAsia" w:ascii="宋体"/>
          <w:b/>
          <w:szCs w:val="21"/>
        </w:rPr>
        <w:t>图例2：</w:t>
      </w:r>
    </w:p>
    <w:p>
      <w:pPr>
        <w:topLinePunct/>
        <w:adjustRightInd w:val="0"/>
        <w:snapToGrid w:val="0"/>
        <w:spacing w:line="440" w:lineRule="exact"/>
        <w:rPr>
          <w:rFonts w:ascii="宋体"/>
          <w:szCs w:val="21"/>
        </w:rPr>
      </w:pPr>
      <w:r>
        <w:drawing>
          <wp:anchor distT="0" distB="0" distL="114300" distR="114300" simplePos="0" relativeHeight="251659264" behindDoc="0" locked="0" layoutInCell="1" allowOverlap="1">
            <wp:simplePos x="0" y="0"/>
            <wp:positionH relativeFrom="column">
              <wp:posOffset>-421005</wp:posOffset>
            </wp:positionH>
            <wp:positionV relativeFrom="paragraph">
              <wp:posOffset>116840</wp:posOffset>
            </wp:positionV>
            <wp:extent cx="6057900" cy="3803015"/>
            <wp:effectExtent l="0" t="0" r="0" b="6985"/>
            <wp:wrapSquare wrapText="bothSides"/>
            <wp:docPr id="1" name="图片 10" descr="政府采购网截图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政府采购网截图图例"/>
                    <pic:cNvPicPr>
                      <a:picLocks noChangeAspect="1"/>
                    </pic:cNvPicPr>
                  </pic:nvPicPr>
                  <pic:blipFill>
                    <a:blip r:embed="rId19"/>
                    <a:stretch>
                      <a:fillRect/>
                    </a:stretch>
                  </pic:blipFill>
                  <pic:spPr>
                    <a:xfrm>
                      <a:off x="0" y="0"/>
                      <a:ext cx="6057900" cy="3803015"/>
                    </a:xfrm>
                    <a:prstGeom prst="rect">
                      <a:avLst/>
                    </a:prstGeom>
                    <a:noFill/>
                    <a:ln>
                      <a:noFill/>
                    </a:ln>
                  </pic:spPr>
                </pic:pic>
              </a:graphicData>
            </a:graphic>
          </wp:anchor>
        </w:drawing>
      </w:r>
    </w:p>
    <w:p>
      <w:pPr>
        <w:topLinePunct/>
        <w:adjustRightInd w:val="0"/>
        <w:snapToGrid w:val="0"/>
        <w:spacing w:line="440" w:lineRule="exact"/>
        <w:rPr>
          <w:rFonts w:ascii="宋体"/>
          <w:szCs w:val="21"/>
        </w:rPr>
        <w:sectPr>
          <w:headerReference r:id="rId12" w:type="default"/>
          <w:pgSz w:w="11906" w:h="16838"/>
          <w:pgMar w:top="1440" w:right="1800" w:bottom="1440" w:left="1800" w:header="851" w:footer="992" w:gutter="0"/>
          <w:pgNumType w:fmt="numberInDash"/>
          <w:cols w:space="720" w:num="1"/>
          <w:docGrid w:type="lines" w:linePitch="312" w:charSpace="0"/>
        </w:sectPr>
      </w:pPr>
    </w:p>
    <w:bookmarkEnd w:id="534"/>
    <w:bookmarkEnd w:id="535"/>
    <w:p>
      <w:pPr>
        <w:pStyle w:val="4"/>
        <w:snapToGrid w:val="0"/>
        <w:spacing w:before="240" w:after="120" w:line="240" w:lineRule="auto"/>
        <w:jc w:val="center"/>
        <w:rPr>
          <w:rFonts w:ascii="宋体" w:hAnsi="宋体" w:eastAsia="宋体" w:cs="宋体"/>
          <w:bCs w:val="0"/>
          <w:sz w:val="24"/>
          <w:szCs w:val="24"/>
        </w:rPr>
      </w:pPr>
      <w:bookmarkStart w:id="540" w:name="_Toc16175996"/>
      <w:bookmarkStart w:id="541" w:name="_Toc3631"/>
      <w:bookmarkStart w:id="542" w:name="_Toc447265324"/>
      <w:bookmarkStart w:id="543" w:name="_Toc447265610"/>
      <w:r>
        <w:rPr>
          <w:rFonts w:hint="eastAsia" w:ascii="宋体" w:hAnsi="宋体" w:eastAsia="宋体" w:cs="宋体"/>
          <w:bCs w:val="0"/>
          <w:sz w:val="24"/>
          <w:szCs w:val="24"/>
        </w:rPr>
        <w:t>七、近三年（</w:t>
      </w:r>
      <w:r>
        <w:rPr>
          <w:rFonts w:ascii="宋体" w:hAnsi="宋体" w:eastAsia="宋体" w:cs="宋体"/>
          <w:bCs w:val="0"/>
          <w:sz w:val="24"/>
          <w:szCs w:val="24"/>
        </w:rPr>
        <w:t>201</w:t>
      </w:r>
      <w:r>
        <w:rPr>
          <w:rFonts w:hint="eastAsia" w:ascii="宋体" w:hAnsi="宋体" w:eastAsia="宋体" w:cs="宋体"/>
          <w:bCs w:val="0"/>
          <w:sz w:val="24"/>
          <w:szCs w:val="24"/>
        </w:rPr>
        <w:t>8年1</w:t>
      </w:r>
      <w:r>
        <w:rPr>
          <w:rFonts w:hint="eastAsia" w:ascii="宋体" w:hAnsi="宋体" w:eastAsia="宋体" w:cs="宋体"/>
          <w:bCs w:val="0"/>
          <w:sz w:val="24"/>
          <w:szCs w:val="24"/>
          <w:lang w:val="en-US" w:eastAsia="zh-CN"/>
        </w:rPr>
        <w:t>1</w:t>
      </w:r>
      <w:r>
        <w:rPr>
          <w:rFonts w:hint="eastAsia" w:ascii="宋体" w:hAnsi="宋体" w:eastAsia="宋体" w:cs="宋体"/>
          <w:bCs w:val="0"/>
          <w:sz w:val="24"/>
          <w:szCs w:val="24"/>
        </w:rPr>
        <w:t>月－2021年1</w:t>
      </w:r>
      <w:r>
        <w:rPr>
          <w:rFonts w:hint="eastAsia" w:ascii="宋体" w:hAnsi="宋体" w:eastAsia="宋体" w:cs="宋体"/>
          <w:bCs w:val="0"/>
          <w:sz w:val="24"/>
          <w:szCs w:val="24"/>
          <w:lang w:val="en-US" w:eastAsia="zh-CN"/>
        </w:rPr>
        <w:t>1</w:t>
      </w:r>
      <w:r>
        <w:rPr>
          <w:rFonts w:hint="eastAsia" w:ascii="宋体" w:hAnsi="宋体" w:eastAsia="宋体" w:cs="宋体"/>
          <w:bCs w:val="0"/>
          <w:sz w:val="24"/>
          <w:szCs w:val="24"/>
        </w:rPr>
        <w:t>月）业绩情况表</w:t>
      </w:r>
      <w:bookmarkEnd w:id="540"/>
      <w:bookmarkEnd w:id="541"/>
    </w:p>
    <w:p>
      <w:pPr>
        <w:pStyle w:val="83"/>
        <w:ind w:firstLine="0" w:firstLineChars="0"/>
        <w:jc w:val="center"/>
        <w:rPr>
          <w:rFonts w:ascii="宋体"/>
          <w:b/>
          <w:sz w:val="24"/>
        </w:rPr>
      </w:pPr>
    </w:p>
    <w:p>
      <w:pPr>
        <w:spacing w:line="360" w:lineRule="auto"/>
        <w:rPr>
          <w:rFonts w:hint="eastAsia" w:ascii="宋体" w:cs="宋体"/>
          <w:szCs w:val="21"/>
          <w:u w:val="single"/>
        </w:rPr>
      </w:pPr>
      <w:r>
        <w:rPr>
          <w:rFonts w:hint="eastAsia" w:ascii="宋体" w:hAnsi="宋体" w:cs="宋体"/>
          <w:szCs w:val="21"/>
        </w:rPr>
        <w:t>项目名称：</w:t>
      </w:r>
      <w:r>
        <w:rPr>
          <w:rFonts w:hint="eastAsia" w:ascii="宋体" w:hAnsi="宋体" w:cs="宋体"/>
          <w:bCs/>
          <w:szCs w:val="21"/>
          <w:u w:val="single"/>
        </w:rPr>
        <w:t>S103济枣线山亭区凫城至市中区曾店段改建工程钢材采购</w:t>
      </w:r>
      <w:r>
        <w:rPr>
          <w:rFonts w:ascii="宋体" w:hAnsi="宋体" w:cs="宋体"/>
          <w:szCs w:val="21"/>
        </w:rPr>
        <w:t xml:space="preserve">                                            </w:t>
      </w:r>
      <w:r>
        <w:rPr>
          <w:rFonts w:hint="eastAsia" w:ascii="宋体" w:hAnsi="宋体" w:cs="宋体"/>
          <w:szCs w:val="21"/>
        </w:rPr>
        <w:t>招标编号：</w:t>
      </w:r>
      <w:r>
        <w:rPr>
          <w:rFonts w:hint="eastAsia" w:ascii="宋体" w:hAnsi="宋体" w:cs="宋体"/>
          <w:szCs w:val="21"/>
          <w:u w:val="single"/>
        </w:rPr>
        <w:t>CGC2021-JS-CL-14</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340"/>
        <w:gridCol w:w="2006"/>
        <w:gridCol w:w="1838"/>
        <w:gridCol w:w="1336"/>
        <w:gridCol w:w="1671"/>
        <w:gridCol w:w="1670"/>
        <w:gridCol w:w="1278"/>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noWrap w:val="0"/>
            <w:vAlign w:val="center"/>
          </w:tcPr>
          <w:p>
            <w:pPr>
              <w:jc w:val="center"/>
              <w:rPr>
                <w:rFonts w:ascii="宋体" w:cs="宋体"/>
                <w:szCs w:val="21"/>
              </w:rPr>
            </w:pPr>
            <w:r>
              <w:rPr>
                <w:rFonts w:hint="eastAsia" w:ascii="宋体" w:hAnsi="宋体" w:cs="宋体"/>
                <w:szCs w:val="21"/>
              </w:rPr>
              <w:t>序号</w:t>
            </w:r>
          </w:p>
        </w:tc>
        <w:tc>
          <w:tcPr>
            <w:tcW w:w="2340" w:type="dxa"/>
            <w:noWrap w:val="0"/>
            <w:vAlign w:val="center"/>
          </w:tcPr>
          <w:p>
            <w:pPr>
              <w:jc w:val="center"/>
              <w:rPr>
                <w:rFonts w:ascii="宋体" w:cs="宋体"/>
                <w:szCs w:val="21"/>
              </w:rPr>
            </w:pPr>
            <w:r>
              <w:rPr>
                <w:rFonts w:hint="eastAsia" w:ascii="宋体" w:hAnsi="宋体" w:cs="宋体"/>
                <w:szCs w:val="21"/>
              </w:rPr>
              <w:t>业绩名称</w:t>
            </w:r>
          </w:p>
        </w:tc>
        <w:tc>
          <w:tcPr>
            <w:tcW w:w="2006" w:type="dxa"/>
            <w:noWrap w:val="0"/>
            <w:vAlign w:val="center"/>
          </w:tcPr>
          <w:p>
            <w:pPr>
              <w:jc w:val="center"/>
              <w:rPr>
                <w:rFonts w:ascii="宋体" w:cs="宋体"/>
                <w:szCs w:val="21"/>
              </w:rPr>
            </w:pPr>
            <w:r>
              <w:rPr>
                <w:rFonts w:hint="eastAsia" w:ascii="宋体" w:hAnsi="宋体" w:cs="宋体"/>
                <w:szCs w:val="21"/>
              </w:rPr>
              <w:t>业绩简介</w:t>
            </w:r>
          </w:p>
        </w:tc>
        <w:tc>
          <w:tcPr>
            <w:tcW w:w="1838" w:type="dxa"/>
            <w:noWrap w:val="0"/>
            <w:vAlign w:val="center"/>
          </w:tcPr>
          <w:p>
            <w:pPr>
              <w:jc w:val="center"/>
              <w:rPr>
                <w:rFonts w:ascii="宋体" w:cs="宋体"/>
                <w:szCs w:val="21"/>
              </w:rPr>
            </w:pPr>
            <w:r>
              <w:rPr>
                <w:rFonts w:hint="eastAsia" w:ascii="宋体" w:hAnsi="宋体" w:cs="宋体"/>
                <w:szCs w:val="21"/>
              </w:rPr>
              <w:t>合同签订时间</w:t>
            </w:r>
          </w:p>
        </w:tc>
        <w:tc>
          <w:tcPr>
            <w:tcW w:w="1336" w:type="dxa"/>
            <w:noWrap w:val="0"/>
            <w:vAlign w:val="center"/>
          </w:tcPr>
          <w:p>
            <w:pPr>
              <w:jc w:val="center"/>
              <w:rPr>
                <w:rFonts w:ascii="宋体" w:cs="宋体"/>
                <w:szCs w:val="21"/>
              </w:rPr>
            </w:pPr>
            <w:r>
              <w:rPr>
                <w:rFonts w:hint="eastAsia" w:ascii="宋体" w:hAnsi="宋体" w:cs="宋体"/>
                <w:szCs w:val="21"/>
              </w:rPr>
              <w:t>合同金额（万元）</w:t>
            </w:r>
          </w:p>
        </w:tc>
        <w:tc>
          <w:tcPr>
            <w:tcW w:w="1671" w:type="dxa"/>
            <w:noWrap w:val="0"/>
            <w:vAlign w:val="center"/>
          </w:tcPr>
          <w:p>
            <w:pPr>
              <w:jc w:val="center"/>
              <w:rPr>
                <w:rFonts w:ascii="宋体" w:cs="宋体"/>
                <w:szCs w:val="21"/>
              </w:rPr>
            </w:pPr>
            <w:r>
              <w:rPr>
                <w:rFonts w:hint="eastAsia" w:ascii="宋体" w:hAnsi="宋体" w:cs="宋体"/>
                <w:szCs w:val="21"/>
              </w:rPr>
              <w:t>合同中标方</w:t>
            </w:r>
          </w:p>
        </w:tc>
        <w:tc>
          <w:tcPr>
            <w:tcW w:w="1670" w:type="dxa"/>
            <w:noWrap w:val="0"/>
            <w:vAlign w:val="center"/>
          </w:tcPr>
          <w:p>
            <w:pPr>
              <w:jc w:val="center"/>
              <w:rPr>
                <w:rFonts w:ascii="宋体" w:cs="宋体"/>
                <w:szCs w:val="21"/>
              </w:rPr>
            </w:pPr>
            <w:r>
              <w:rPr>
                <w:rFonts w:hint="eastAsia" w:ascii="宋体" w:hAnsi="宋体" w:cs="宋体"/>
                <w:szCs w:val="21"/>
              </w:rPr>
              <w:t>合同招标方</w:t>
            </w:r>
          </w:p>
        </w:tc>
        <w:tc>
          <w:tcPr>
            <w:tcW w:w="1278" w:type="dxa"/>
            <w:noWrap w:val="0"/>
            <w:vAlign w:val="center"/>
          </w:tcPr>
          <w:p>
            <w:pPr>
              <w:jc w:val="center"/>
              <w:rPr>
                <w:rFonts w:ascii="宋体" w:cs="宋体"/>
                <w:szCs w:val="21"/>
              </w:rPr>
            </w:pPr>
            <w:r>
              <w:rPr>
                <w:rFonts w:hint="eastAsia" w:ascii="宋体" w:hAnsi="宋体" w:cs="宋体"/>
                <w:szCs w:val="21"/>
              </w:rPr>
              <w:t>项目完成情况</w:t>
            </w:r>
          </w:p>
        </w:tc>
        <w:tc>
          <w:tcPr>
            <w:tcW w:w="1278" w:type="dxa"/>
            <w:noWrap w:val="0"/>
            <w:vAlign w:val="center"/>
          </w:tcPr>
          <w:p>
            <w:pPr>
              <w:jc w:val="center"/>
              <w:rPr>
                <w:rFonts w:asci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36" w:type="dxa"/>
            <w:noWrap w:val="0"/>
            <w:vAlign w:val="top"/>
          </w:tcPr>
          <w:p>
            <w:pPr>
              <w:spacing w:before="156" w:beforeLines="50" w:line="520" w:lineRule="exact"/>
              <w:jc w:val="center"/>
              <w:rPr>
                <w:rFonts w:ascii="宋体" w:cs="宋体"/>
                <w:szCs w:val="21"/>
              </w:rPr>
            </w:pPr>
          </w:p>
        </w:tc>
        <w:tc>
          <w:tcPr>
            <w:tcW w:w="2340" w:type="dxa"/>
            <w:noWrap w:val="0"/>
            <w:vAlign w:val="top"/>
          </w:tcPr>
          <w:p>
            <w:pPr>
              <w:spacing w:before="156" w:beforeLines="50" w:line="520" w:lineRule="exact"/>
              <w:jc w:val="center"/>
              <w:rPr>
                <w:rFonts w:ascii="宋体" w:cs="宋体"/>
                <w:szCs w:val="21"/>
              </w:rPr>
            </w:pPr>
          </w:p>
        </w:tc>
        <w:tc>
          <w:tcPr>
            <w:tcW w:w="2006" w:type="dxa"/>
            <w:noWrap w:val="0"/>
            <w:vAlign w:val="top"/>
          </w:tcPr>
          <w:p>
            <w:pPr>
              <w:spacing w:before="156" w:beforeLines="50" w:line="520" w:lineRule="exact"/>
              <w:jc w:val="center"/>
              <w:rPr>
                <w:rFonts w:ascii="宋体" w:cs="宋体"/>
                <w:szCs w:val="21"/>
              </w:rPr>
            </w:pPr>
          </w:p>
        </w:tc>
        <w:tc>
          <w:tcPr>
            <w:tcW w:w="1838" w:type="dxa"/>
            <w:noWrap w:val="0"/>
            <w:vAlign w:val="top"/>
          </w:tcPr>
          <w:p>
            <w:pPr>
              <w:spacing w:before="156" w:beforeLines="50" w:line="520" w:lineRule="exact"/>
              <w:jc w:val="center"/>
              <w:rPr>
                <w:rFonts w:ascii="宋体" w:cs="宋体"/>
                <w:szCs w:val="21"/>
              </w:rPr>
            </w:pPr>
          </w:p>
        </w:tc>
        <w:tc>
          <w:tcPr>
            <w:tcW w:w="1336" w:type="dxa"/>
            <w:noWrap w:val="0"/>
            <w:vAlign w:val="top"/>
          </w:tcPr>
          <w:p>
            <w:pPr>
              <w:spacing w:before="156" w:beforeLines="50" w:line="520" w:lineRule="exact"/>
              <w:jc w:val="center"/>
              <w:rPr>
                <w:rFonts w:ascii="宋体" w:cs="宋体"/>
                <w:szCs w:val="21"/>
              </w:rPr>
            </w:pPr>
          </w:p>
        </w:tc>
        <w:tc>
          <w:tcPr>
            <w:tcW w:w="1671" w:type="dxa"/>
            <w:noWrap w:val="0"/>
            <w:vAlign w:val="top"/>
          </w:tcPr>
          <w:p>
            <w:pPr>
              <w:spacing w:before="156" w:beforeLines="50" w:line="520" w:lineRule="exact"/>
              <w:jc w:val="center"/>
              <w:rPr>
                <w:rFonts w:ascii="宋体" w:cs="宋体"/>
                <w:szCs w:val="21"/>
              </w:rPr>
            </w:pPr>
          </w:p>
        </w:tc>
        <w:tc>
          <w:tcPr>
            <w:tcW w:w="1670" w:type="dxa"/>
            <w:noWrap w:val="0"/>
            <w:vAlign w:val="top"/>
          </w:tcPr>
          <w:p>
            <w:pPr>
              <w:spacing w:before="156" w:beforeLines="50" w:line="520" w:lineRule="exact"/>
              <w:jc w:val="center"/>
              <w:rPr>
                <w:rFonts w:ascii="宋体" w:cs="宋体"/>
                <w:szCs w:val="21"/>
              </w:rPr>
            </w:pPr>
          </w:p>
        </w:tc>
        <w:tc>
          <w:tcPr>
            <w:tcW w:w="1278" w:type="dxa"/>
            <w:noWrap w:val="0"/>
            <w:vAlign w:val="center"/>
          </w:tcPr>
          <w:p>
            <w:pPr>
              <w:spacing w:before="156" w:beforeLines="50" w:line="520" w:lineRule="exact"/>
              <w:jc w:val="center"/>
              <w:rPr>
                <w:rFonts w:ascii="宋体" w:cs="宋体"/>
                <w:szCs w:val="21"/>
              </w:rPr>
            </w:pPr>
          </w:p>
        </w:tc>
        <w:tc>
          <w:tcPr>
            <w:tcW w:w="1278" w:type="dxa"/>
            <w:noWrap w:val="0"/>
            <w:vAlign w:val="top"/>
          </w:tcPr>
          <w:p>
            <w:pPr>
              <w:spacing w:before="156" w:beforeLines="50" w:line="520" w:lineRule="exact"/>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36" w:type="dxa"/>
            <w:noWrap w:val="0"/>
            <w:vAlign w:val="top"/>
          </w:tcPr>
          <w:p>
            <w:pPr>
              <w:spacing w:before="156" w:beforeLines="50" w:line="520" w:lineRule="exact"/>
              <w:jc w:val="center"/>
              <w:rPr>
                <w:rFonts w:ascii="宋体" w:cs="宋体"/>
                <w:szCs w:val="21"/>
              </w:rPr>
            </w:pPr>
          </w:p>
        </w:tc>
        <w:tc>
          <w:tcPr>
            <w:tcW w:w="2340" w:type="dxa"/>
            <w:noWrap w:val="0"/>
            <w:vAlign w:val="top"/>
          </w:tcPr>
          <w:p>
            <w:pPr>
              <w:spacing w:before="156" w:beforeLines="50" w:line="520" w:lineRule="exact"/>
              <w:jc w:val="center"/>
              <w:rPr>
                <w:rFonts w:ascii="宋体" w:cs="宋体"/>
                <w:szCs w:val="21"/>
              </w:rPr>
            </w:pPr>
          </w:p>
        </w:tc>
        <w:tc>
          <w:tcPr>
            <w:tcW w:w="2006" w:type="dxa"/>
            <w:noWrap w:val="0"/>
            <w:vAlign w:val="top"/>
          </w:tcPr>
          <w:p>
            <w:pPr>
              <w:spacing w:before="156" w:beforeLines="50" w:line="520" w:lineRule="exact"/>
              <w:jc w:val="center"/>
              <w:rPr>
                <w:rFonts w:ascii="宋体" w:cs="宋体"/>
                <w:szCs w:val="21"/>
              </w:rPr>
            </w:pPr>
          </w:p>
        </w:tc>
        <w:tc>
          <w:tcPr>
            <w:tcW w:w="1838" w:type="dxa"/>
            <w:noWrap w:val="0"/>
            <w:vAlign w:val="top"/>
          </w:tcPr>
          <w:p>
            <w:pPr>
              <w:spacing w:before="156" w:beforeLines="50" w:line="520" w:lineRule="exact"/>
              <w:jc w:val="center"/>
              <w:rPr>
                <w:rFonts w:ascii="宋体" w:cs="宋体"/>
                <w:szCs w:val="21"/>
              </w:rPr>
            </w:pPr>
          </w:p>
        </w:tc>
        <w:tc>
          <w:tcPr>
            <w:tcW w:w="1336" w:type="dxa"/>
            <w:noWrap w:val="0"/>
            <w:vAlign w:val="top"/>
          </w:tcPr>
          <w:p>
            <w:pPr>
              <w:spacing w:before="156" w:beforeLines="50" w:line="520" w:lineRule="exact"/>
              <w:jc w:val="center"/>
              <w:rPr>
                <w:rFonts w:ascii="宋体" w:cs="宋体"/>
                <w:szCs w:val="21"/>
              </w:rPr>
            </w:pPr>
          </w:p>
        </w:tc>
        <w:tc>
          <w:tcPr>
            <w:tcW w:w="1671" w:type="dxa"/>
            <w:noWrap w:val="0"/>
            <w:vAlign w:val="top"/>
          </w:tcPr>
          <w:p>
            <w:pPr>
              <w:spacing w:before="156" w:beforeLines="50" w:line="520" w:lineRule="exact"/>
              <w:jc w:val="center"/>
              <w:rPr>
                <w:rFonts w:ascii="宋体" w:cs="宋体"/>
                <w:szCs w:val="21"/>
              </w:rPr>
            </w:pPr>
          </w:p>
        </w:tc>
        <w:tc>
          <w:tcPr>
            <w:tcW w:w="1670" w:type="dxa"/>
            <w:noWrap w:val="0"/>
            <w:vAlign w:val="top"/>
          </w:tcPr>
          <w:p>
            <w:pPr>
              <w:spacing w:before="156" w:beforeLines="50" w:line="520" w:lineRule="exact"/>
              <w:jc w:val="center"/>
              <w:rPr>
                <w:rFonts w:ascii="宋体" w:cs="宋体"/>
                <w:szCs w:val="21"/>
              </w:rPr>
            </w:pPr>
          </w:p>
        </w:tc>
        <w:tc>
          <w:tcPr>
            <w:tcW w:w="1278" w:type="dxa"/>
            <w:noWrap w:val="0"/>
            <w:vAlign w:val="center"/>
          </w:tcPr>
          <w:p>
            <w:pPr>
              <w:spacing w:before="156" w:beforeLines="50" w:line="520" w:lineRule="exact"/>
              <w:jc w:val="center"/>
              <w:rPr>
                <w:rFonts w:ascii="宋体" w:cs="宋体"/>
                <w:szCs w:val="21"/>
              </w:rPr>
            </w:pPr>
          </w:p>
        </w:tc>
        <w:tc>
          <w:tcPr>
            <w:tcW w:w="1278" w:type="dxa"/>
            <w:noWrap w:val="0"/>
            <w:vAlign w:val="top"/>
          </w:tcPr>
          <w:p>
            <w:pPr>
              <w:spacing w:before="156" w:beforeLines="50" w:line="520" w:lineRule="exact"/>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36" w:type="dxa"/>
            <w:noWrap w:val="0"/>
            <w:vAlign w:val="top"/>
          </w:tcPr>
          <w:p>
            <w:pPr>
              <w:spacing w:before="156" w:beforeLines="50" w:line="520" w:lineRule="exact"/>
              <w:jc w:val="center"/>
              <w:rPr>
                <w:rFonts w:ascii="宋体" w:cs="宋体"/>
                <w:szCs w:val="21"/>
              </w:rPr>
            </w:pPr>
          </w:p>
        </w:tc>
        <w:tc>
          <w:tcPr>
            <w:tcW w:w="2340" w:type="dxa"/>
            <w:noWrap w:val="0"/>
            <w:vAlign w:val="top"/>
          </w:tcPr>
          <w:p>
            <w:pPr>
              <w:spacing w:before="156" w:beforeLines="50" w:line="520" w:lineRule="exact"/>
              <w:jc w:val="center"/>
              <w:rPr>
                <w:rFonts w:ascii="宋体" w:cs="宋体"/>
                <w:szCs w:val="21"/>
              </w:rPr>
            </w:pPr>
          </w:p>
        </w:tc>
        <w:tc>
          <w:tcPr>
            <w:tcW w:w="2006" w:type="dxa"/>
            <w:noWrap w:val="0"/>
            <w:vAlign w:val="top"/>
          </w:tcPr>
          <w:p>
            <w:pPr>
              <w:spacing w:before="156" w:beforeLines="50" w:line="520" w:lineRule="exact"/>
              <w:jc w:val="center"/>
              <w:rPr>
                <w:rFonts w:ascii="宋体" w:cs="宋体"/>
                <w:szCs w:val="21"/>
              </w:rPr>
            </w:pPr>
          </w:p>
        </w:tc>
        <w:tc>
          <w:tcPr>
            <w:tcW w:w="1838" w:type="dxa"/>
            <w:noWrap w:val="0"/>
            <w:vAlign w:val="top"/>
          </w:tcPr>
          <w:p>
            <w:pPr>
              <w:spacing w:before="156" w:beforeLines="50" w:line="520" w:lineRule="exact"/>
              <w:jc w:val="center"/>
              <w:rPr>
                <w:rFonts w:ascii="宋体" w:cs="宋体"/>
                <w:szCs w:val="21"/>
              </w:rPr>
            </w:pPr>
          </w:p>
        </w:tc>
        <w:tc>
          <w:tcPr>
            <w:tcW w:w="1336" w:type="dxa"/>
            <w:noWrap w:val="0"/>
            <w:vAlign w:val="top"/>
          </w:tcPr>
          <w:p>
            <w:pPr>
              <w:spacing w:before="156" w:beforeLines="50" w:line="520" w:lineRule="exact"/>
              <w:jc w:val="center"/>
              <w:rPr>
                <w:rFonts w:ascii="宋体" w:cs="宋体"/>
                <w:szCs w:val="21"/>
              </w:rPr>
            </w:pPr>
          </w:p>
        </w:tc>
        <w:tc>
          <w:tcPr>
            <w:tcW w:w="1671" w:type="dxa"/>
            <w:noWrap w:val="0"/>
            <w:vAlign w:val="top"/>
          </w:tcPr>
          <w:p>
            <w:pPr>
              <w:spacing w:before="156" w:beforeLines="50" w:line="520" w:lineRule="exact"/>
              <w:jc w:val="center"/>
              <w:rPr>
                <w:rFonts w:ascii="宋体" w:cs="宋体"/>
                <w:szCs w:val="21"/>
              </w:rPr>
            </w:pPr>
          </w:p>
        </w:tc>
        <w:tc>
          <w:tcPr>
            <w:tcW w:w="1670" w:type="dxa"/>
            <w:noWrap w:val="0"/>
            <w:vAlign w:val="top"/>
          </w:tcPr>
          <w:p>
            <w:pPr>
              <w:spacing w:before="156" w:beforeLines="50" w:line="520" w:lineRule="exact"/>
              <w:jc w:val="center"/>
              <w:rPr>
                <w:rFonts w:ascii="宋体" w:cs="宋体"/>
                <w:szCs w:val="21"/>
              </w:rPr>
            </w:pPr>
          </w:p>
        </w:tc>
        <w:tc>
          <w:tcPr>
            <w:tcW w:w="1278" w:type="dxa"/>
            <w:noWrap w:val="0"/>
            <w:vAlign w:val="center"/>
          </w:tcPr>
          <w:p>
            <w:pPr>
              <w:spacing w:before="156" w:beforeLines="50" w:line="520" w:lineRule="exact"/>
              <w:jc w:val="center"/>
              <w:rPr>
                <w:rFonts w:ascii="宋体" w:cs="宋体"/>
                <w:szCs w:val="21"/>
              </w:rPr>
            </w:pPr>
          </w:p>
        </w:tc>
        <w:tc>
          <w:tcPr>
            <w:tcW w:w="1278" w:type="dxa"/>
            <w:noWrap w:val="0"/>
            <w:vAlign w:val="top"/>
          </w:tcPr>
          <w:p>
            <w:pPr>
              <w:spacing w:before="156" w:beforeLines="50" w:line="520" w:lineRule="exact"/>
              <w:jc w:val="center"/>
              <w:rPr>
                <w:rFonts w:ascii="宋体" w:cs="宋体"/>
                <w:szCs w:val="21"/>
              </w:rPr>
            </w:pPr>
          </w:p>
        </w:tc>
      </w:tr>
    </w:tbl>
    <w:p>
      <w:pPr>
        <w:spacing w:line="400" w:lineRule="exact"/>
        <w:jc w:val="left"/>
        <w:rPr>
          <w:rFonts w:ascii="宋体" w:cs="宋体"/>
          <w:szCs w:val="21"/>
        </w:rPr>
      </w:pPr>
      <w:r>
        <w:rPr>
          <w:rFonts w:hint="eastAsia" w:ascii="宋体" w:hAnsi="宋体" w:cs="宋体"/>
          <w:szCs w:val="21"/>
        </w:rPr>
        <w:t>注：</w:t>
      </w:r>
      <w:r>
        <w:rPr>
          <w:rFonts w:ascii="宋体" w:hAnsi="宋体" w:cs="宋体"/>
          <w:szCs w:val="21"/>
        </w:rPr>
        <w:t>1.</w:t>
      </w:r>
      <w:r>
        <w:rPr>
          <w:rFonts w:hint="eastAsia" w:ascii="宋体" w:hAnsi="宋体" w:cs="宋体"/>
          <w:szCs w:val="21"/>
        </w:rPr>
        <w:t>投标人应当如实填写本表并后附相关业绩证明材料复印件。</w:t>
      </w:r>
    </w:p>
    <w:p>
      <w:pPr>
        <w:spacing w:line="40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合同需包含关键页（合同服务内容、实施时间、合同金额、合同签字盖章页）。</w:t>
      </w:r>
    </w:p>
    <w:p>
      <w:pPr>
        <w:pStyle w:val="83"/>
        <w:topLinePunct/>
        <w:adjustRightInd w:val="0"/>
        <w:snapToGrid w:val="0"/>
        <w:spacing w:line="440" w:lineRule="exact"/>
        <w:ind w:left="1575" w:firstLine="0" w:firstLineChars="0"/>
        <w:rPr>
          <w:rFonts w:ascii="宋体"/>
          <w:bCs/>
          <w:szCs w:val="21"/>
        </w:rPr>
      </w:pPr>
    </w:p>
    <w:p>
      <w:pPr>
        <w:pStyle w:val="83"/>
        <w:topLinePunct/>
        <w:adjustRightInd w:val="0"/>
        <w:snapToGrid w:val="0"/>
        <w:spacing w:line="440" w:lineRule="exact"/>
        <w:ind w:left="1575" w:firstLine="0" w:firstLineChars="0"/>
        <w:rPr>
          <w:rFonts w:ascii="宋体"/>
          <w:bCs/>
          <w:szCs w:val="21"/>
        </w:rPr>
      </w:pPr>
    </w:p>
    <w:p>
      <w:pPr>
        <w:pStyle w:val="83"/>
        <w:wordWrap w:val="0"/>
        <w:adjustRightInd w:val="0"/>
        <w:snapToGrid w:val="0"/>
        <w:spacing w:line="440" w:lineRule="exact"/>
        <w:ind w:left="1575" w:right="420" w:firstLine="0" w:firstLineChars="0"/>
        <w:jc w:val="right"/>
        <w:rPr>
          <w:rFonts w:asci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（盖单位公章）</w:t>
      </w:r>
    </w:p>
    <w:p>
      <w:pPr>
        <w:pStyle w:val="83"/>
        <w:adjustRightInd w:val="0"/>
        <w:snapToGrid w:val="0"/>
        <w:spacing w:line="440" w:lineRule="exact"/>
        <w:ind w:left="1575" w:right="420" w:firstLine="0" w:firstLineChars="0"/>
        <w:jc w:val="right"/>
        <w:rPr>
          <w:rFonts w:ascii="宋体"/>
          <w:szCs w:val="21"/>
        </w:rPr>
      </w:pPr>
      <w:r>
        <w:rPr>
          <w:rFonts w:hint="eastAsia" w:ascii="宋体" w:hAnsi="宋体"/>
          <w:szCs w:val="21"/>
        </w:rPr>
        <w:t>法定代表人或者授权委托人：</w:t>
      </w:r>
      <w:r>
        <w:rPr>
          <w:rFonts w:ascii="宋体" w:hAnsi="宋体"/>
          <w:szCs w:val="21"/>
          <w:u w:val="single"/>
        </w:rPr>
        <w:t xml:space="preserve">          </w:t>
      </w:r>
      <w:r>
        <w:rPr>
          <w:rFonts w:hint="eastAsia" w:ascii="宋体" w:hAnsi="宋体"/>
          <w:szCs w:val="21"/>
        </w:rPr>
        <w:t>（签字或盖章）</w:t>
      </w:r>
    </w:p>
    <w:p>
      <w:pPr>
        <w:pStyle w:val="83"/>
        <w:topLinePunct/>
        <w:adjustRightInd w:val="0"/>
        <w:snapToGrid w:val="0"/>
        <w:spacing w:line="440" w:lineRule="exact"/>
        <w:ind w:left="1575" w:firstLine="0" w:firstLineChars="0"/>
        <w:rPr>
          <w:rFonts w:ascii="宋体"/>
          <w:szCs w:val="21"/>
        </w:rPr>
        <w:sectPr>
          <w:headerReference r:id="rId13" w:type="default"/>
          <w:pgSz w:w="16838" w:h="11906" w:orient="landscape"/>
          <w:pgMar w:top="1797" w:right="1440" w:bottom="1797" w:left="1440" w:header="851" w:footer="992" w:gutter="0"/>
          <w:pgNumType w:fmt="numberInDash"/>
          <w:cols w:space="720" w:num="1"/>
          <w:docGrid w:type="lines" w:linePitch="312" w:charSpace="0"/>
        </w:sectPr>
      </w:pPr>
      <w:r>
        <w:rPr>
          <w:rFonts w:ascii="宋体" w:hAnsi="宋体"/>
          <w:szCs w:val="21"/>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bookmarkEnd w:id="542"/>
    <w:bookmarkEnd w:id="543"/>
    <w:p>
      <w:pPr>
        <w:pStyle w:val="4"/>
        <w:snapToGrid w:val="0"/>
        <w:spacing w:before="240" w:after="120" w:line="240" w:lineRule="auto"/>
        <w:jc w:val="center"/>
        <w:rPr>
          <w:rFonts w:ascii="宋体" w:hAnsi="宋体" w:eastAsia="宋体" w:cs="宋体"/>
          <w:bCs w:val="0"/>
          <w:sz w:val="24"/>
          <w:szCs w:val="24"/>
        </w:rPr>
      </w:pPr>
      <w:bookmarkStart w:id="544" w:name="_Toc16175997"/>
      <w:bookmarkStart w:id="545" w:name="_Toc18300"/>
      <w:r>
        <w:rPr>
          <w:rFonts w:hint="eastAsia" w:ascii="宋体" w:hAnsi="宋体" w:eastAsia="宋体" w:cs="宋体"/>
          <w:bCs w:val="0"/>
          <w:sz w:val="24"/>
          <w:szCs w:val="24"/>
        </w:rPr>
        <w:t>八、服务方案及综合实力</w:t>
      </w:r>
      <w:bookmarkEnd w:id="544"/>
      <w:bookmarkEnd w:id="545"/>
    </w:p>
    <w:p>
      <w:pPr>
        <w:pStyle w:val="83"/>
        <w:ind w:firstLine="0" w:firstLineChars="0"/>
        <w:jc w:val="center"/>
        <w:rPr>
          <w:rFonts w:ascii="宋体"/>
          <w:b/>
          <w:sz w:val="24"/>
        </w:rPr>
      </w:pPr>
    </w:p>
    <w:p>
      <w:pPr>
        <w:topLinePunct/>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注：</w:t>
      </w:r>
    </w:p>
    <w:p>
      <w:pPr>
        <w:topLinePunct/>
        <w:adjustRightInd w:val="0"/>
        <w:snapToGrid w:val="0"/>
        <w:spacing w:line="360" w:lineRule="auto"/>
        <w:ind w:firstLine="422" w:firstLineChars="200"/>
        <w:rPr>
          <w:rFonts w:ascii="宋体" w:cs="宋体"/>
          <w:b/>
          <w:bCs/>
          <w:szCs w:val="21"/>
        </w:rPr>
      </w:pPr>
      <w:r>
        <w:rPr>
          <w:rFonts w:ascii="宋体" w:hAnsi="宋体" w:cs="宋体"/>
          <w:b/>
          <w:bCs/>
          <w:szCs w:val="21"/>
        </w:rPr>
        <w:t>1.</w:t>
      </w:r>
      <w:r>
        <w:rPr>
          <w:rFonts w:hint="eastAsia" w:ascii="宋体" w:hAnsi="宋体" w:cs="宋体"/>
          <w:b/>
          <w:bCs/>
          <w:szCs w:val="21"/>
        </w:rPr>
        <w:t>服务方案及综合实力不提供格式，由投标人自拟，投标人应根据招标人服务需求及评标办法详细编写。</w:t>
      </w:r>
    </w:p>
    <w:p>
      <w:pPr>
        <w:topLinePunct/>
        <w:adjustRightInd w:val="0"/>
        <w:snapToGrid w:val="0"/>
        <w:spacing w:line="360" w:lineRule="auto"/>
        <w:ind w:firstLine="422" w:firstLineChars="200"/>
        <w:rPr>
          <w:rFonts w:hint="eastAsia" w:ascii="宋体" w:hAnsi="宋体" w:cs="宋体"/>
          <w:b/>
          <w:bCs/>
          <w:szCs w:val="21"/>
        </w:rPr>
      </w:pPr>
      <w:r>
        <w:rPr>
          <w:rFonts w:ascii="宋体" w:hAnsi="宋体" w:cs="宋体"/>
          <w:b/>
          <w:bCs/>
          <w:szCs w:val="21"/>
        </w:rPr>
        <w:t>2.</w:t>
      </w:r>
      <w:r>
        <w:rPr>
          <w:rFonts w:hint="eastAsia" w:ascii="宋体" w:hAnsi="宋体" w:cs="宋体"/>
          <w:b/>
          <w:bCs/>
          <w:szCs w:val="21"/>
        </w:rPr>
        <w:t>包含但不限于以下内容：</w:t>
      </w:r>
    </w:p>
    <w:p>
      <w:pPr>
        <w:pStyle w:val="2"/>
        <w:ind w:left="0" w:leftChars="0"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各类资格认证文件，含体系认证、各类专利等。</w:t>
      </w:r>
    </w:p>
    <w:p>
      <w:pPr>
        <w:pStyle w:val="2"/>
        <w:ind w:left="0" w:leftChars="0"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财务状况说明</w:t>
      </w:r>
    </w:p>
    <w:p>
      <w:pPr>
        <w:pStyle w:val="2"/>
        <w:ind w:left="0" w:leftChars="0"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付款条件</w:t>
      </w:r>
    </w:p>
    <w:p>
      <w:pPr>
        <w:pStyle w:val="2"/>
        <w:ind w:left="0" w:leftChars="0"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）售后服务</w:t>
      </w:r>
    </w:p>
    <w:p>
      <w:pPr>
        <w:pStyle w:val="2"/>
        <w:ind w:left="0" w:leftChars="0"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备货期限</w:t>
      </w:r>
    </w:p>
    <w:p>
      <w:pPr>
        <w:pStyle w:val="2"/>
        <w:ind w:left="0" w:leftChars="0"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）投标方服务方案，按照对服务需求理解、完成时间、招标人对本项目提出合理具有针对性的重点难点分析及用户需要的建议性意见等因素详细编写。</w:t>
      </w:r>
    </w:p>
    <w:p>
      <w:pPr>
        <w:pStyle w:val="2"/>
        <w:ind w:left="0" w:leftChars="0" w:firstLine="0" w:firstLineChars="0"/>
        <w:rPr>
          <w:rFonts w:hint="eastAsia" w:ascii="宋体"/>
          <w:b/>
          <w:sz w:val="24"/>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）服务保障方案，如问题处理反馈沟通机制、紧急（突发）事情处理方案、跟踪问效后继服务制度等。</w:t>
      </w: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hint="eastAsia" w:ascii="宋体"/>
          <w:b/>
          <w:sz w:val="24"/>
        </w:rPr>
      </w:pPr>
    </w:p>
    <w:p>
      <w:pPr>
        <w:pStyle w:val="83"/>
        <w:ind w:firstLine="0" w:firstLineChars="0"/>
        <w:jc w:val="center"/>
        <w:rPr>
          <w:rFonts w:ascii="宋体"/>
          <w:b/>
          <w:sz w:val="24"/>
        </w:rPr>
      </w:pPr>
    </w:p>
    <w:p>
      <w:pPr>
        <w:pStyle w:val="4"/>
        <w:snapToGrid w:val="0"/>
        <w:spacing w:before="240" w:after="120" w:line="240" w:lineRule="auto"/>
        <w:jc w:val="center"/>
        <w:rPr>
          <w:rFonts w:ascii="宋体" w:hAnsi="宋体" w:eastAsia="宋体" w:cs="宋体"/>
          <w:bCs w:val="0"/>
          <w:sz w:val="24"/>
          <w:szCs w:val="24"/>
        </w:rPr>
      </w:pPr>
      <w:bookmarkStart w:id="546" w:name="_Toc16175998"/>
      <w:bookmarkStart w:id="547" w:name="_Toc421654533"/>
      <w:r>
        <w:rPr>
          <w:rFonts w:ascii="宋体" w:hAnsi="宋体" w:eastAsia="宋体" w:cs="宋体"/>
          <w:bCs w:val="0"/>
          <w:sz w:val="24"/>
          <w:szCs w:val="24"/>
        </w:rPr>
        <w:br w:type="page"/>
      </w:r>
      <w:bookmarkStart w:id="548" w:name="_Toc16037"/>
      <w:r>
        <w:rPr>
          <w:rFonts w:hint="eastAsia" w:ascii="宋体" w:hAnsi="宋体" w:eastAsia="宋体" w:cs="宋体"/>
          <w:bCs w:val="0"/>
          <w:sz w:val="24"/>
          <w:szCs w:val="24"/>
        </w:rPr>
        <w:t>九、其他相关证明材料</w:t>
      </w:r>
      <w:bookmarkEnd w:id="546"/>
      <w:bookmarkEnd w:id="547"/>
      <w:bookmarkEnd w:id="548"/>
    </w:p>
    <w:p>
      <w:pPr>
        <w:pStyle w:val="83"/>
        <w:ind w:firstLine="0" w:firstLineChars="0"/>
        <w:jc w:val="center"/>
        <w:rPr>
          <w:rFonts w:ascii="宋体"/>
          <w:b/>
          <w:sz w:val="24"/>
        </w:rPr>
      </w:pPr>
    </w:p>
    <w:p>
      <w:pPr>
        <w:topLinePunct/>
        <w:adjustRightInd w:val="0"/>
        <w:snapToGrid w:val="0"/>
        <w:spacing w:line="360" w:lineRule="auto"/>
        <w:jc w:val="center"/>
        <w:outlineLvl w:val="0"/>
        <w:rPr>
          <w:rFonts w:ascii="宋体" w:cs="宋体"/>
          <w:b/>
          <w:bCs/>
          <w:szCs w:val="21"/>
        </w:rPr>
      </w:pPr>
      <w:bookmarkStart w:id="549" w:name="_Toc26988"/>
      <w:r>
        <w:rPr>
          <w:rFonts w:hint="eastAsia" w:ascii="宋体" w:hAnsi="宋体" w:cs="宋体"/>
          <w:b/>
          <w:bCs/>
          <w:szCs w:val="21"/>
        </w:rPr>
        <w:t>（投标人认为对其有利的其他书面证明材料）</w:t>
      </w:r>
      <w:bookmarkEnd w:id="549"/>
    </w:p>
    <w:p>
      <w:pPr>
        <w:pStyle w:val="83"/>
        <w:ind w:firstLine="0" w:firstLineChars="0"/>
        <w:jc w:val="center"/>
        <w:rPr>
          <w:rFonts w:ascii="宋体"/>
          <w:b/>
          <w:sz w:val="24"/>
        </w:rPr>
      </w:pPr>
    </w:p>
    <w:p>
      <w:pPr>
        <w:spacing w:line="360" w:lineRule="auto"/>
        <w:ind w:firstLine="520" w:firstLineChars="200"/>
        <w:rPr>
          <w:rFonts w:ascii="宋体"/>
          <w:spacing w:val="10"/>
          <w:sz w:val="24"/>
        </w:rPr>
      </w:pPr>
    </w:p>
    <w:sectPr>
      <w:headerReference r:id="rId1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Helvetica">
    <w:altName w:val="Arial"/>
    <w:panose1 w:val="020B0604020202020204"/>
    <w:charset w:val="00"/>
    <w:family w:val="swiss"/>
    <w:pitch w:val="default"/>
    <w:sig w:usb0="00000000" w:usb1="00000000" w:usb2="00000009" w:usb3="00000000" w:csb0="000001F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3420"/>
        <w:tab w:val="center" w:pos="4156"/>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tabs>
                              <w:tab w:val="left" w:pos="3420"/>
                              <w:tab w:val="center" w:pos="4156"/>
                              <w:tab w:val="clear" w:pos="4153"/>
                            </w:tabs>
                            <w:jc w:val="center"/>
                          </w:pPr>
                          <w:r>
                            <w:fldChar w:fldCharType="begin"/>
                          </w:r>
                          <w:r>
                            <w:instrText xml:space="preserve"> PAGE   \* MERGEFORMAT </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ZnsscBAACZ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JNZnsscBAACZAwAADgAAAAAAAAABACAAAAAeAQAAZHJzL2Uyb0RvYy54&#10;bWxQSwUGAAAAAAYABgBZAQAAVwUAAAAA&#10;">
              <v:fill on="f" focussize="0,0"/>
              <v:stroke on="f"/>
              <v:imagedata o:title=""/>
              <o:lock v:ext="edit" aspectratio="f"/>
              <v:textbox inset="0mm,0mm,0mm,0mm" style="mso-fit-shape-to-text:t;">
                <w:txbxContent>
                  <w:p>
                    <w:pPr>
                      <w:pStyle w:val="27"/>
                      <w:tabs>
                        <w:tab w:val="left" w:pos="3420"/>
                        <w:tab w:val="center" w:pos="4156"/>
                        <w:tab w:val="clear" w:pos="4153"/>
                      </w:tabs>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3420"/>
        <w:tab w:val="center" w:pos="4156"/>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- 4 -</w:t>
                          </w:r>
                          <w:r>
                            <w:rPr>
                              <w:rFonts w:hint="eastAsia"/>
                            </w:rP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knD5MkBAACb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Us&#10;X2eB+gA15j0EzEzDnR8wef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ScPkyQEAAJsDAAAOAAAAAAAAAAEAIAAAAB4BAABkcnMvZTJvRG9j&#10;LnhtbFBLBQYAAAAABgAGAFkBAABZBQAAAAA=&#10;">
              <v:fill on="f" focussize="0,0"/>
              <v:stroke on="f"/>
              <v:imagedata o:title=""/>
              <o:lock v:ext="edit" aspectratio="f"/>
              <v:textbox inset="0mm,0mm,0mm,0mm" style="mso-fit-shape-to-text:t;">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- 4 -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- 3 -</w:t>
                          </w:r>
                          <w:r>
                            <w:rPr>
                              <w:rFonts w:hint="eastAsia"/>
                            </w:rP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Fbe8kBAACb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R4rjFiV++f7v8+HX5+ZUs&#10;X2eB+gA15j0EzEzDnR8wef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pYVt7yQEAAJsDAAAOAAAAAAAAAAEAIAAAAB4BAABkcnMvZTJvRG9j&#10;LnhtbFBLBQYAAAAABgAGAFkBAABZBQAAAAA=&#10;">
              <v:fill on="f" focussize="0,0"/>
              <v:stroke on="f"/>
              <v:imagedata o:title=""/>
              <o:lock v:ext="edit" aspectratio="f"/>
              <v:textbox inset="0mm,0mm,0mm,0mm" style="mso-fit-shape-to-text:t;">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- 3 -</w:t>
                    </w:r>
                    <w:r>
                      <w:rPr>
                        <w:rFonts w:hint="eastAsia"/>
                      </w:rPr>
                      <w:fldChar w:fldCharType="end"/>
                    </w:r>
                  </w:p>
                </w:txbxContent>
              </v:textbox>
            </v:shape>
          </w:pict>
        </mc:Fallback>
      </mc:AlternateContent>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3420"/>
        <w:tab w:val="center" w:pos="4156"/>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tabs>
                              <w:tab w:val="left" w:pos="3420"/>
                              <w:tab w:val="center" w:pos="4156"/>
                              <w:tab w:val="clear" w:pos="4153"/>
                            </w:tabs>
                            <w:jc w:val="center"/>
                          </w:pPr>
                          <w:r>
                            <w:fldChar w:fldCharType="begin"/>
                          </w:r>
                          <w:r>
                            <w:instrText xml:space="preserve"> PAGE   \* MERGEFORMAT </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27"/>
                      <w:tabs>
                        <w:tab w:val="left" w:pos="3420"/>
                        <w:tab w:val="center" w:pos="4156"/>
                        <w:tab w:val="clear" w:pos="4153"/>
                      </w:tabs>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left"/>
    </w:pPr>
    <w:r>
      <w:rPr>
        <w:rFonts w:ascii="隶书" w:eastAsia="隶书"/>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540" w:firstLineChars="30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ind w:firstLine="450" w:firstLineChars="25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left"/>
    </w:pPr>
    <w:r>
      <w:rPr>
        <w:rFonts w:ascii="隶书" w:eastAsia="隶书"/>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864A0"/>
    <w:multiLevelType w:val="singleLevel"/>
    <w:tmpl w:val="DD5864A0"/>
    <w:lvl w:ilvl="0" w:tentative="0">
      <w:start w:val="1"/>
      <w:numFmt w:val="decimal"/>
      <w:suff w:val="nothing"/>
      <w:lvlText w:val="%1）"/>
      <w:lvlJc w:val="left"/>
    </w:lvl>
  </w:abstractNum>
  <w:abstractNum w:abstractNumId="1">
    <w:nsid w:val="EDB4BEF9"/>
    <w:multiLevelType w:val="singleLevel"/>
    <w:tmpl w:val="EDB4BEF9"/>
    <w:lvl w:ilvl="0" w:tentative="0">
      <w:start w:val="1"/>
      <w:numFmt w:val="chineseCounting"/>
      <w:suff w:val="nothing"/>
      <w:lvlText w:val="%1、"/>
      <w:lvlJc w:val="left"/>
      <w:rPr>
        <w:rFonts w:hint="eastAsia"/>
      </w:rPr>
    </w:lvl>
  </w:abstractNum>
  <w:abstractNum w:abstractNumId="2">
    <w:nsid w:val="155ABDB0"/>
    <w:multiLevelType w:val="singleLevel"/>
    <w:tmpl w:val="155ABDB0"/>
    <w:lvl w:ilvl="0" w:tentative="0">
      <w:start w:val="1"/>
      <w:numFmt w:val="decimal"/>
      <w:suff w:val="nothing"/>
      <w:lvlText w:val="（%1）"/>
      <w:lvlJc w:val="left"/>
    </w:lvl>
  </w:abstractNum>
  <w:abstractNum w:abstractNumId="3">
    <w:nsid w:val="4DAC762D"/>
    <w:multiLevelType w:val="multilevel"/>
    <w:tmpl w:val="4DAC762D"/>
    <w:lvl w:ilvl="0" w:tentative="0">
      <w:start w:val="1"/>
      <w:numFmt w:val="decimal"/>
      <w:lvlText w:val="%1"/>
      <w:lvlJc w:val="left"/>
      <w:pPr>
        <w:tabs>
          <w:tab w:val="left" w:pos="432"/>
        </w:tabs>
        <w:ind w:left="432" w:hanging="432"/>
      </w:pPr>
      <w:rPr>
        <w:rFonts w:hint="eastAsia" w:cs="Times New Roman"/>
      </w:rPr>
    </w:lvl>
    <w:lvl w:ilvl="1" w:tentative="0">
      <w:start w:val="1"/>
      <w:numFmt w:val="decimal"/>
      <w:pStyle w:val="84"/>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drawingGridHorizontalSpacing w:val="105"/>
  <w:drawingGridVerticalSpacing w:val="190"/>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24"/>
    <w:rsid w:val="0000014E"/>
    <w:rsid w:val="00000F80"/>
    <w:rsid w:val="00001366"/>
    <w:rsid w:val="00001D14"/>
    <w:rsid w:val="00001E51"/>
    <w:rsid w:val="00004894"/>
    <w:rsid w:val="00004907"/>
    <w:rsid w:val="00005869"/>
    <w:rsid w:val="0000597B"/>
    <w:rsid w:val="000101D2"/>
    <w:rsid w:val="00010968"/>
    <w:rsid w:val="0001099C"/>
    <w:rsid w:val="00011E6B"/>
    <w:rsid w:val="0001291C"/>
    <w:rsid w:val="00014A07"/>
    <w:rsid w:val="00014DC8"/>
    <w:rsid w:val="000154AF"/>
    <w:rsid w:val="00015B26"/>
    <w:rsid w:val="00016CB3"/>
    <w:rsid w:val="00017252"/>
    <w:rsid w:val="0002072F"/>
    <w:rsid w:val="000209DF"/>
    <w:rsid w:val="00020D9C"/>
    <w:rsid w:val="000210C1"/>
    <w:rsid w:val="0002115E"/>
    <w:rsid w:val="0002129D"/>
    <w:rsid w:val="00021A11"/>
    <w:rsid w:val="00021CFD"/>
    <w:rsid w:val="0002398D"/>
    <w:rsid w:val="00026F31"/>
    <w:rsid w:val="00027253"/>
    <w:rsid w:val="00027794"/>
    <w:rsid w:val="00027A66"/>
    <w:rsid w:val="0003051F"/>
    <w:rsid w:val="00030857"/>
    <w:rsid w:val="000324F8"/>
    <w:rsid w:val="00033ED9"/>
    <w:rsid w:val="00034718"/>
    <w:rsid w:val="000347B8"/>
    <w:rsid w:val="0003604A"/>
    <w:rsid w:val="00036424"/>
    <w:rsid w:val="0003775A"/>
    <w:rsid w:val="0004089D"/>
    <w:rsid w:val="00041A46"/>
    <w:rsid w:val="0004206C"/>
    <w:rsid w:val="0004255D"/>
    <w:rsid w:val="00043169"/>
    <w:rsid w:val="000445C6"/>
    <w:rsid w:val="00047CB9"/>
    <w:rsid w:val="00047E9C"/>
    <w:rsid w:val="00051CBD"/>
    <w:rsid w:val="000520EB"/>
    <w:rsid w:val="00053191"/>
    <w:rsid w:val="0005328B"/>
    <w:rsid w:val="00053F61"/>
    <w:rsid w:val="0005484E"/>
    <w:rsid w:val="000549DB"/>
    <w:rsid w:val="000560BC"/>
    <w:rsid w:val="00061B23"/>
    <w:rsid w:val="000623F6"/>
    <w:rsid w:val="00062473"/>
    <w:rsid w:val="00062A74"/>
    <w:rsid w:val="00063079"/>
    <w:rsid w:val="00065113"/>
    <w:rsid w:val="00065FC5"/>
    <w:rsid w:val="00066606"/>
    <w:rsid w:val="0006703C"/>
    <w:rsid w:val="00067C7F"/>
    <w:rsid w:val="00071A2F"/>
    <w:rsid w:val="000727FB"/>
    <w:rsid w:val="00072913"/>
    <w:rsid w:val="00073E0B"/>
    <w:rsid w:val="000750A7"/>
    <w:rsid w:val="00076805"/>
    <w:rsid w:val="0007738C"/>
    <w:rsid w:val="00081C20"/>
    <w:rsid w:val="0008220C"/>
    <w:rsid w:val="00085668"/>
    <w:rsid w:val="00085FE4"/>
    <w:rsid w:val="000863A9"/>
    <w:rsid w:val="000866A4"/>
    <w:rsid w:val="00086ACD"/>
    <w:rsid w:val="00086B83"/>
    <w:rsid w:val="000874A1"/>
    <w:rsid w:val="00087802"/>
    <w:rsid w:val="0008781B"/>
    <w:rsid w:val="000901AA"/>
    <w:rsid w:val="00091C89"/>
    <w:rsid w:val="00091FAB"/>
    <w:rsid w:val="0009245B"/>
    <w:rsid w:val="00092670"/>
    <w:rsid w:val="0009436F"/>
    <w:rsid w:val="00094678"/>
    <w:rsid w:val="00094EDA"/>
    <w:rsid w:val="00095894"/>
    <w:rsid w:val="00096BF6"/>
    <w:rsid w:val="000975BF"/>
    <w:rsid w:val="000A07DB"/>
    <w:rsid w:val="000A0D5F"/>
    <w:rsid w:val="000A0EF5"/>
    <w:rsid w:val="000A1448"/>
    <w:rsid w:val="000A16E2"/>
    <w:rsid w:val="000A1717"/>
    <w:rsid w:val="000A2258"/>
    <w:rsid w:val="000A71E6"/>
    <w:rsid w:val="000A7FA7"/>
    <w:rsid w:val="000B138E"/>
    <w:rsid w:val="000B256E"/>
    <w:rsid w:val="000B2B4D"/>
    <w:rsid w:val="000B37D7"/>
    <w:rsid w:val="000B4E31"/>
    <w:rsid w:val="000B4EFB"/>
    <w:rsid w:val="000B4FB8"/>
    <w:rsid w:val="000B55EC"/>
    <w:rsid w:val="000B568B"/>
    <w:rsid w:val="000B69FE"/>
    <w:rsid w:val="000B6EB8"/>
    <w:rsid w:val="000B731B"/>
    <w:rsid w:val="000C02DD"/>
    <w:rsid w:val="000C09BF"/>
    <w:rsid w:val="000C1E9B"/>
    <w:rsid w:val="000C21D7"/>
    <w:rsid w:val="000C2CC1"/>
    <w:rsid w:val="000C34D1"/>
    <w:rsid w:val="000C37EF"/>
    <w:rsid w:val="000C389F"/>
    <w:rsid w:val="000C784B"/>
    <w:rsid w:val="000D0034"/>
    <w:rsid w:val="000D090B"/>
    <w:rsid w:val="000D1DA0"/>
    <w:rsid w:val="000D24B3"/>
    <w:rsid w:val="000D2C2A"/>
    <w:rsid w:val="000D37D2"/>
    <w:rsid w:val="000D4BDC"/>
    <w:rsid w:val="000D6864"/>
    <w:rsid w:val="000D6BE7"/>
    <w:rsid w:val="000D7213"/>
    <w:rsid w:val="000E045B"/>
    <w:rsid w:val="000E1C06"/>
    <w:rsid w:val="000E24F5"/>
    <w:rsid w:val="000E28EF"/>
    <w:rsid w:val="000E2C94"/>
    <w:rsid w:val="000E2DD2"/>
    <w:rsid w:val="000E44B1"/>
    <w:rsid w:val="000E4B58"/>
    <w:rsid w:val="000E4D84"/>
    <w:rsid w:val="000E54A4"/>
    <w:rsid w:val="000E5F8C"/>
    <w:rsid w:val="000E65C0"/>
    <w:rsid w:val="000E68A1"/>
    <w:rsid w:val="000E6E86"/>
    <w:rsid w:val="000F139C"/>
    <w:rsid w:val="000F1890"/>
    <w:rsid w:val="000F3D4B"/>
    <w:rsid w:val="000F412D"/>
    <w:rsid w:val="000F4AA5"/>
    <w:rsid w:val="000F5642"/>
    <w:rsid w:val="000F6AD7"/>
    <w:rsid w:val="000F6C5A"/>
    <w:rsid w:val="000F6E12"/>
    <w:rsid w:val="00100032"/>
    <w:rsid w:val="001027D6"/>
    <w:rsid w:val="00102BE9"/>
    <w:rsid w:val="00104246"/>
    <w:rsid w:val="001051DB"/>
    <w:rsid w:val="00107748"/>
    <w:rsid w:val="00107807"/>
    <w:rsid w:val="00107E05"/>
    <w:rsid w:val="00110A63"/>
    <w:rsid w:val="00111129"/>
    <w:rsid w:val="00111184"/>
    <w:rsid w:val="001112C1"/>
    <w:rsid w:val="00111A7F"/>
    <w:rsid w:val="00112AD5"/>
    <w:rsid w:val="00112C16"/>
    <w:rsid w:val="001143FA"/>
    <w:rsid w:val="00114883"/>
    <w:rsid w:val="00114D50"/>
    <w:rsid w:val="00115971"/>
    <w:rsid w:val="00120CA5"/>
    <w:rsid w:val="00121059"/>
    <w:rsid w:val="00122433"/>
    <w:rsid w:val="001228D8"/>
    <w:rsid w:val="001237C0"/>
    <w:rsid w:val="00123EC9"/>
    <w:rsid w:val="0012447F"/>
    <w:rsid w:val="00126155"/>
    <w:rsid w:val="00127E54"/>
    <w:rsid w:val="001306E5"/>
    <w:rsid w:val="00132DB7"/>
    <w:rsid w:val="00133142"/>
    <w:rsid w:val="00133589"/>
    <w:rsid w:val="0013604E"/>
    <w:rsid w:val="001408B1"/>
    <w:rsid w:val="00141291"/>
    <w:rsid w:val="001413DE"/>
    <w:rsid w:val="00142319"/>
    <w:rsid w:val="00142C02"/>
    <w:rsid w:val="001439D2"/>
    <w:rsid w:val="00143AB9"/>
    <w:rsid w:val="001441B7"/>
    <w:rsid w:val="00145C75"/>
    <w:rsid w:val="001464EC"/>
    <w:rsid w:val="00147411"/>
    <w:rsid w:val="001476AF"/>
    <w:rsid w:val="00150F7B"/>
    <w:rsid w:val="001521DF"/>
    <w:rsid w:val="001523EC"/>
    <w:rsid w:val="00152450"/>
    <w:rsid w:val="00154105"/>
    <w:rsid w:val="001558E8"/>
    <w:rsid w:val="001559C5"/>
    <w:rsid w:val="00156AD9"/>
    <w:rsid w:val="00157707"/>
    <w:rsid w:val="00161AED"/>
    <w:rsid w:val="00163E00"/>
    <w:rsid w:val="00164862"/>
    <w:rsid w:val="00167AD7"/>
    <w:rsid w:val="001703AF"/>
    <w:rsid w:val="001712B8"/>
    <w:rsid w:val="00174F8F"/>
    <w:rsid w:val="001760AC"/>
    <w:rsid w:val="00176386"/>
    <w:rsid w:val="001763E5"/>
    <w:rsid w:val="00176DE2"/>
    <w:rsid w:val="00177C5D"/>
    <w:rsid w:val="00177F6D"/>
    <w:rsid w:val="00180FCE"/>
    <w:rsid w:val="00181901"/>
    <w:rsid w:val="00182766"/>
    <w:rsid w:val="001830EA"/>
    <w:rsid w:val="001845D4"/>
    <w:rsid w:val="001848F1"/>
    <w:rsid w:val="00184F2C"/>
    <w:rsid w:val="001851E3"/>
    <w:rsid w:val="00185DF7"/>
    <w:rsid w:val="00186411"/>
    <w:rsid w:val="00186424"/>
    <w:rsid w:val="0018646D"/>
    <w:rsid w:val="0018656E"/>
    <w:rsid w:val="00190DFE"/>
    <w:rsid w:val="00193B68"/>
    <w:rsid w:val="00193C2A"/>
    <w:rsid w:val="00194F10"/>
    <w:rsid w:val="00195240"/>
    <w:rsid w:val="00196397"/>
    <w:rsid w:val="00196D92"/>
    <w:rsid w:val="00197A9E"/>
    <w:rsid w:val="001A58F2"/>
    <w:rsid w:val="001A73E9"/>
    <w:rsid w:val="001A7749"/>
    <w:rsid w:val="001A7B9F"/>
    <w:rsid w:val="001A7C37"/>
    <w:rsid w:val="001B0424"/>
    <w:rsid w:val="001B10D7"/>
    <w:rsid w:val="001B1E47"/>
    <w:rsid w:val="001B2883"/>
    <w:rsid w:val="001B288C"/>
    <w:rsid w:val="001B79BF"/>
    <w:rsid w:val="001C10FE"/>
    <w:rsid w:val="001C1592"/>
    <w:rsid w:val="001C162C"/>
    <w:rsid w:val="001C1E3D"/>
    <w:rsid w:val="001C2649"/>
    <w:rsid w:val="001C291C"/>
    <w:rsid w:val="001C2B03"/>
    <w:rsid w:val="001C35C3"/>
    <w:rsid w:val="001C3F5C"/>
    <w:rsid w:val="001C4756"/>
    <w:rsid w:val="001C4D28"/>
    <w:rsid w:val="001C5385"/>
    <w:rsid w:val="001C5464"/>
    <w:rsid w:val="001C560E"/>
    <w:rsid w:val="001C59FC"/>
    <w:rsid w:val="001C5D49"/>
    <w:rsid w:val="001C7DDA"/>
    <w:rsid w:val="001D0DDC"/>
    <w:rsid w:val="001D1275"/>
    <w:rsid w:val="001D201F"/>
    <w:rsid w:val="001D224C"/>
    <w:rsid w:val="001D29CE"/>
    <w:rsid w:val="001D60A0"/>
    <w:rsid w:val="001D618A"/>
    <w:rsid w:val="001D6D30"/>
    <w:rsid w:val="001D7D61"/>
    <w:rsid w:val="001E0048"/>
    <w:rsid w:val="001E15DC"/>
    <w:rsid w:val="001E2A0A"/>
    <w:rsid w:val="001E2C05"/>
    <w:rsid w:val="001E361F"/>
    <w:rsid w:val="001E39E7"/>
    <w:rsid w:val="001E3CAA"/>
    <w:rsid w:val="001E3FE8"/>
    <w:rsid w:val="001E4DDC"/>
    <w:rsid w:val="001E7788"/>
    <w:rsid w:val="001F2F59"/>
    <w:rsid w:val="001F4323"/>
    <w:rsid w:val="001F5418"/>
    <w:rsid w:val="001F67AB"/>
    <w:rsid w:val="001F6E69"/>
    <w:rsid w:val="001F74E8"/>
    <w:rsid w:val="002010F2"/>
    <w:rsid w:val="002017B3"/>
    <w:rsid w:val="00201A20"/>
    <w:rsid w:val="0020216F"/>
    <w:rsid w:val="002028D5"/>
    <w:rsid w:val="002044EC"/>
    <w:rsid w:val="00204932"/>
    <w:rsid w:val="00205C2E"/>
    <w:rsid w:val="00206A28"/>
    <w:rsid w:val="00210392"/>
    <w:rsid w:val="002109CC"/>
    <w:rsid w:val="00210AAD"/>
    <w:rsid w:val="00213454"/>
    <w:rsid w:val="00213ED0"/>
    <w:rsid w:val="002144D5"/>
    <w:rsid w:val="00215FCD"/>
    <w:rsid w:val="00216082"/>
    <w:rsid w:val="00216DC4"/>
    <w:rsid w:val="0021718E"/>
    <w:rsid w:val="00217911"/>
    <w:rsid w:val="00217CF9"/>
    <w:rsid w:val="00220B65"/>
    <w:rsid w:val="0022214A"/>
    <w:rsid w:val="0022246C"/>
    <w:rsid w:val="00222817"/>
    <w:rsid w:val="00223698"/>
    <w:rsid w:val="00224ED2"/>
    <w:rsid w:val="002255BE"/>
    <w:rsid w:val="00226471"/>
    <w:rsid w:val="0022696C"/>
    <w:rsid w:val="00227A33"/>
    <w:rsid w:val="00230D18"/>
    <w:rsid w:val="00231504"/>
    <w:rsid w:val="00232E61"/>
    <w:rsid w:val="002339C4"/>
    <w:rsid w:val="00234EA4"/>
    <w:rsid w:val="00235816"/>
    <w:rsid w:val="00235B52"/>
    <w:rsid w:val="0023604B"/>
    <w:rsid w:val="002379E3"/>
    <w:rsid w:val="00240957"/>
    <w:rsid w:val="00240AAD"/>
    <w:rsid w:val="002410BC"/>
    <w:rsid w:val="002434D9"/>
    <w:rsid w:val="00245FE5"/>
    <w:rsid w:val="00246597"/>
    <w:rsid w:val="00246AFD"/>
    <w:rsid w:val="002473F3"/>
    <w:rsid w:val="00250163"/>
    <w:rsid w:val="00251E7C"/>
    <w:rsid w:val="00253A68"/>
    <w:rsid w:val="002544C5"/>
    <w:rsid w:val="00254AA3"/>
    <w:rsid w:val="00254C4F"/>
    <w:rsid w:val="00254DD5"/>
    <w:rsid w:val="00254E35"/>
    <w:rsid w:val="0025683A"/>
    <w:rsid w:val="00257772"/>
    <w:rsid w:val="002607DA"/>
    <w:rsid w:val="00260CC4"/>
    <w:rsid w:val="00261742"/>
    <w:rsid w:val="00261D39"/>
    <w:rsid w:val="00262021"/>
    <w:rsid w:val="00263504"/>
    <w:rsid w:val="00264F8F"/>
    <w:rsid w:val="002656A1"/>
    <w:rsid w:val="0026596A"/>
    <w:rsid w:val="00265D3C"/>
    <w:rsid w:val="00266040"/>
    <w:rsid w:val="00266376"/>
    <w:rsid w:val="0026656B"/>
    <w:rsid w:val="00266F33"/>
    <w:rsid w:val="0027044A"/>
    <w:rsid w:val="002708AF"/>
    <w:rsid w:val="00271571"/>
    <w:rsid w:val="00272C88"/>
    <w:rsid w:val="00275206"/>
    <w:rsid w:val="00276C1D"/>
    <w:rsid w:val="00277C54"/>
    <w:rsid w:val="00280225"/>
    <w:rsid w:val="002802DD"/>
    <w:rsid w:val="002805DC"/>
    <w:rsid w:val="00280A92"/>
    <w:rsid w:val="00280E8F"/>
    <w:rsid w:val="00281520"/>
    <w:rsid w:val="00282138"/>
    <w:rsid w:val="0028282F"/>
    <w:rsid w:val="002864CD"/>
    <w:rsid w:val="00286EDB"/>
    <w:rsid w:val="002871AD"/>
    <w:rsid w:val="00287A8C"/>
    <w:rsid w:val="00291EFA"/>
    <w:rsid w:val="00293799"/>
    <w:rsid w:val="00294153"/>
    <w:rsid w:val="00295D81"/>
    <w:rsid w:val="00296112"/>
    <w:rsid w:val="002A0FA7"/>
    <w:rsid w:val="002A36DD"/>
    <w:rsid w:val="002A411E"/>
    <w:rsid w:val="002A437A"/>
    <w:rsid w:val="002A5F03"/>
    <w:rsid w:val="002A6E2F"/>
    <w:rsid w:val="002B051B"/>
    <w:rsid w:val="002B06DD"/>
    <w:rsid w:val="002B0CB9"/>
    <w:rsid w:val="002B0EB1"/>
    <w:rsid w:val="002B1672"/>
    <w:rsid w:val="002B20D4"/>
    <w:rsid w:val="002B3064"/>
    <w:rsid w:val="002B331B"/>
    <w:rsid w:val="002B4238"/>
    <w:rsid w:val="002B4B0D"/>
    <w:rsid w:val="002B7A61"/>
    <w:rsid w:val="002C01C6"/>
    <w:rsid w:val="002C17E2"/>
    <w:rsid w:val="002C2734"/>
    <w:rsid w:val="002C3215"/>
    <w:rsid w:val="002C35BE"/>
    <w:rsid w:val="002C364D"/>
    <w:rsid w:val="002C3771"/>
    <w:rsid w:val="002C6493"/>
    <w:rsid w:val="002C6C4D"/>
    <w:rsid w:val="002D0051"/>
    <w:rsid w:val="002D035E"/>
    <w:rsid w:val="002D0E43"/>
    <w:rsid w:val="002D261E"/>
    <w:rsid w:val="002D557F"/>
    <w:rsid w:val="002D5862"/>
    <w:rsid w:val="002D6D49"/>
    <w:rsid w:val="002D74A6"/>
    <w:rsid w:val="002D7600"/>
    <w:rsid w:val="002D794D"/>
    <w:rsid w:val="002D7ACD"/>
    <w:rsid w:val="002D7C71"/>
    <w:rsid w:val="002E2A86"/>
    <w:rsid w:val="002E31E7"/>
    <w:rsid w:val="002E32AA"/>
    <w:rsid w:val="002E4288"/>
    <w:rsid w:val="002E46EF"/>
    <w:rsid w:val="002E69C3"/>
    <w:rsid w:val="002E6A25"/>
    <w:rsid w:val="002E6B3F"/>
    <w:rsid w:val="002E6BCA"/>
    <w:rsid w:val="002F037F"/>
    <w:rsid w:val="002F2579"/>
    <w:rsid w:val="002F2670"/>
    <w:rsid w:val="002F2A6D"/>
    <w:rsid w:val="002F4305"/>
    <w:rsid w:val="002F5029"/>
    <w:rsid w:val="002F67EF"/>
    <w:rsid w:val="00300CCB"/>
    <w:rsid w:val="003016A5"/>
    <w:rsid w:val="003024BB"/>
    <w:rsid w:val="00306EB1"/>
    <w:rsid w:val="00307170"/>
    <w:rsid w:val="00307258"/>
    <w:rsid w:val="003104F7"/>
    <w:rsid w:val="00310C54"/>
    <w:rsid w:val="003110D7"/>
    <w:rsid w:val="003116CF"/>
    <w:rsid w:val="0031362E"/>
    <w:rsid w:val="00313C13"/>
    <w:rsid w:val="00314673"/>
    <w:rsid w:val="003161EC"/>
    <w:rsid w:val="0031734A"/>
    <w:rsid w:val="00317B40"/>
    <w:rsid w:val="00320956"/>
    <w:rsid w:val="00321CBB"/>
    <w:rsid w:val="00322D96"/>
    <w:rsid w:val="0032397A"/>
    <w:rsid w:val="0032441C"/>
    <w:rsid w:val="00325834"/>
    <w:rsid w:val="003272DA"/>
    <w:rsid w:val="00331B93"/>
    <w:rsid w:val="00331E14"/>
    <w:rsid w:val="003330C2"/>
    <w:rsid w:val="00334AAE"/>
    <w:rsid w:val="0033603A"/>
    <w:rsid w:val="00336072"/>
    <w:rsid w:val="00337135"/>
    <w:rsid w:val="00337272"/>
    <w:rsid w:val="0034281D"/>
    <w:rsid w:val="00342BD3"/>
    <w:rsid w:val="00342C93"/>
    <w:rsid w:val="00343198"/>
    <w:rsid w:val="00347031"/>
    <w:rsid w:val="003505E5"/>
    <w:rsid w:val="00350628"/>
    <w:rsid w:val="00351999"/>
    <w:rsid w:val="003528D7"/>
    <w:rsid w:val="00354DA9"/>
    <w:rsid w:val="00355398"/>
    <w:rsid w:val="00356B01"/>
    <w:rsid w:val="00356D3F"/>
    <w:rsid w:val="003620DF"/>
    <w:rsid w:val="0036458A"/>
    <w:rsid w:val="003657E6"/>
    <w:rsid w:val="00367944"/>
    <w:rsid w:val="00372139"/>
    <w:rsid w:val="00372D5B"/>
    <w:rsid w:val="00373054"/>
    <w:rsid w:val="00373F68"/>
    <w:rsid w:val="0037478D"/>
    <w:rsid w:val="003750CE"/>
    <w:rsid w:val="00375A09"/>
    <w:rsid w:val="00375E44"/>
    <w:rsid w:val="00376169"/>
    <w:rsid w:val="0038071F"/>
    <w:rsid w:val="00381F10"/>
    <w:rsid w:val="00385140"/>
    <w:rsid w:val="00385D6C"/>
    <w:rsid w:val="00386842"/>
    <w:rsid w:val="003869B6"/>
    <w:rsid w:val="00386DDA"/>
    <w:rsid w:val="0039040B"/>
    <w:rsid w:val="00391035"/>
    <w:rsid w:val="0039153B"/>
    <w:rsid w:val="00394188"/>
    <w:rsid w:val="003949B8"/>
    <w:rsid w:val="00394DFC"/>
    <w:rsid w:val="00395785"/>
    <w:rsid w:val="00397A6A"/>
    <w:rsid w:val="00397BE2"/>
    <w:rsid w:val="003A03A5"/>
    <w:rsid w:val="003A0475"/>
    <w:rsid w:val="003A12E8"/>
    <w:rsid w:val="003A1F39"/>
    <w:rsid w:val="003A2282"/>
    <w:rsid w:val="003A2291"/>
    <w:rsid w:val="003A2654"/>
    <w:rsid w:val="003A2C0F"/>
    <w:rsid w:val="003A2F3D"/>
    <w:rsid w:val="003A38F2"/>
    <w:rsid w:val="003A500C"/>
    <w:rsid w:val="003A55DF"/>
    <w:rsid w:val="003B033E"/>
    <w:rsid w:val="003B1BFF"/>
    <w:rsid w:val="003B34FF"/>
    <w:rsid w:val="003B3CC3"/>
    <w:rsid w:val="003B3E5C"/>
    <w:rsid w:val="003B6288"/>
    <w:rsid w:val="003B654E"/>
    <w:rsid w:val="003B6F45"/>
    <w:rsid w:val="003B7ABF"/>
    <w:rsid w:val="003C2639"/>
    <w:rsid w:val="003C3666"/>
    <w:rsid w:val="003C3983"/>
    <w:rsid w:val="003C48CA"/>
    <w:rsid w:val="003C5131"/>
    <w:rsid w:val="003C734D"/>
    <w:rsid w:val="003C7B57"/>
    <w:rsid w:val="003D2277"/>
    <w:rsid w:val="003D2EE1"/>
    <w:rsid w:val="003D461C"/>
    <w:rsid w:val="003D592A"/>
    <w:rsid w:val="003D7D16"/>
    <w:rsid w:val="003E23D7"/>
    <w:rsid w:val="003E2CC9"/>
    <w:rsid w:val="003E5604"/>
    <w:rsid w:val="003E6406"/>
    <w:rsid w:val="003E681F"/>
    <w:rsid w:val="003E73BA"/>
    <w:rsid w:val="003F0C21"/>
    <w:rsid w:val="003F0C44"/>
    <w:rsid w:val="003F3258"/>
    <w:rsid w:val="003F3580"/>
    <w:rsid w:val="003F360D"/>
    <w:rsid w:val="003F4960"/>
    <w:rsid w:val="003F4CDB"/>
    <w:rsid w:val="003F5459"/>
    <w:rsid w:val="003F6DE6"/>
    <w:rsid w:val="003F6F4B"/>
    <w:rsid w:val="003F7856"/>
    <w:rsid w:val="004005EF"/>
    <w:rsid w:val="00400B3E"/>
    <w:rsid w:val="0040109A"/>
    <w:rsid w:val="00401A3C"/>
    <w:rsid w:val="00402B12"/>
    <w:rsid w:val="00403219"/>
    <w:rsid w:val="00404FD9"/>
    <w:rsid w:val="00405515"/>
    <w:rsid w:val="004062F8"/>
    <w:rsid w:val="00407017"/>
    <w:rsid w:val="00407F26"/>
    <w:rsid w:val="00410D9F"/>
    <w:rsid w:val="00411727"/>
    <w:rsid w:val="00411DF5"/>
    <w:rsid w:val="004141C6"/>
    <w:rsid w:val="004159C7"/>
    <w:rsid w:val="00416AF9"/>
    <w:rsid w:val="00420B96"/>
    <w:rsid w:val="00423492"/>
    <w:rsid w:val="0042394C"/>
    <w:rsid w:val="00425096"/>
    <w:rsid w:val="00425128"/>
    <w:rsid w:val="00425EA1"/>
    <w:rsid w:val="00426094"/>
    <w:rsid w:val="00426B48"/>
    <w:rsid w:val="004270C2"/>
    <w:rsid w:val="00431142"/>
    <w:rsid w:val="00431EED"/>
    <w:rsid w:val="00432010"/>
    <w:rsid w:val="004346DD"/>
    <w:rsid w:val="0043527A"/>
    <w:rsid w:val="00436072"/>
    <w:rsid w:val="004361E8"/>
    <w:rsid w:val="004362FE"/>
    <w:rsid w:val="004400F7"/>
    <w:rsid w:val="00443248"/>
    <w:rsid w:val="00443BC7"/>
    <w:rsid w:val="00446B27"/>
    <w:rsid w:val="0045023B"/>
    <w:rsid w:val="004502B1"/>
    <w:rsid w:val="00454D2C"/>
    <w:rsid w:val="0045530D"/>
    <w:rsid w:val="00456C5A"/>
    <w:rsid w:val="00456CE8"/>
    <w:rsid w:val="0045728D"/>
    <w:rsid w:val="004613BF"/>
    <w:rsid w:val="004614D8"/>
    <w:rsid w:val="004628F9"/>
    <w:rsid w:val="00463CF7"/>
    <w:rsid w:val="0046422B"/>
    <w:rsid w:val="0046568F"/>
    <w:rsid w:val="0046576C"/>
    <w:rsid w:val="0046735C"/>
    <w:rsid w:val="004704B7"/>
    <w:rsid w:val="004706A5"/>
    <w:rsid w:val="004708A1"/>
    <w:rsid w:val="00470BBF"/>
    <w:rsid w:val="00474A74"/>
    <w:rsid w:val="00474C86"/>
    <w:rsid w:val="00474D1A"/>
    <w:rsid w:val="00475B82"/>
    <w:rsid w:val="00475B90"/>
    <w:rsid w:val="00480FF3"/>
    <w:rsid w:val="004812AE"/>
    <w:rsid w:val="00481DC7"/>
    <w:rsid w:val="00483139"/>
    <w:rsid w:val="00483255"/>
    <w:rsid w:val="00484D35"/>
    <w:rsid w:val="00485FDC"/>
    <w:rsid w:val="00486C53"/>
    <w:rsid w:val="00486C75"/>
    <w:rsid w:val="0048715D"/>
    <w:rsid w:val="004876D5"/>
    <w:rsid w:val="00490666"/>
    <w:rsid w:val="004908F9"/>
    <w:rsid w:val="00490B27"/>
    <w:rsid w:val="00491F89"/>
    <w:rsid w:val="00492A9C"/>
    <w:rsid w:val="00493539"/>
    <w:rsid w:val="00494DEE"/>
    <w:rsid w:val="004951C8"/>
    <w:rsid w:val="00495A4C"/>
    <w:rsid w:val="00495C8F"/>
    <w:rsid w:val="004975B7"/>
    <w:rsid w:val="004A09A6"/>
    <w:rsid w:val="004A194C"/>
    <w:rsid w:val="004A23A1"/>
    <w:rsid w:val="004A2455"/>
    <w:rsid w:val="004A5604"/>
    <w:rsid w:val="004A596D"/>
    <w:rsid w:val="004A71F7"/>
    <w:rsid w:val="004A7C3E"/>
    <w:rsid w:val="004A7D86"/>
    <w:rsid w:val="004B0624"/>
    <w:rsid w:val="004B06C9"/>
    <w:rsid w:val="004B0CAD"/>
    <w:rsid w:val="004B353B"/>
    <w:rsid w:val="004B3699"/>
    <w:rsid w:val="004B49D3"/>
    <w:rsid w:val="004B4B70"/>
    <w:rsid w:val="004B4BA4"/>
    <w:rsid w:val="004C0425"/>
    <w:rsid w:val="004C1CF8"/>
    <w:rsid w:val="004C2ABB"/>
    <w:rsid w:val="004C3440"/>
    <w:rsid w:val="004C3BF4"/>
    <w:rsid w:val="004C5AAB"/>
    <w:rsid w:val="004C66C0"/>
    <w:rsid w:val="004C7157"/>
    <w:rsid w:val="004D0103"/>
    <w:rsid w:val="004D07CA"/>
    <w:rsid w:val="004D1731"/>
    <w:rsid w:val="004D22F4"/>
    <w:rsid w:val="004D27D7"/>
    <w:rsid w:val="004D2F0F"/>
    <w:rsid w:val="004D3245"/>
    <w:rsid w:val="004D3576"/>
    <w:rsid w:val="004D615C"/>
    <w:rsid w:val="004D6C3C"/>
    <w:rsid w:val="004E0925"/>
    <w:rsid w:val="004E13CB"/>
    <w:rsid w:val="004E1970"/>
    <w:rsid w:val="004E24FF"/>
    <w:rsid w:val="004E3223"/>
    <w:rsid w:val="004E40E4"/>
    <w:rsid w:val="004E4736"/>
    <w:rsid w:val="004E49BC"/>
    <w:rsid w:val="004E6900"/>
    <w:rsid w:val="004E70C5"/>
    <w:rsid w:val="004E7D6B"/>
    <w:rsid w:val="004F0B53"/>
    <w:rsid w:val="004F0C6A"/>
    <w:rsid w:val="004F4DDC"/>
    <w:rsid w:val="004F62C4"/>
    <w:rsid w:val="005002A9"/>
    <w:rsid w:val="00502197"/>
    <w:rsid w:val="00502532"/>
    <w:rsid w:val="00502EA1"/>
    <w:rsid w:val="00505FC2"/>
    <w:rsid w:val="00506D04"/>
    <w:rsid w:val="00507E70"/>
    <w:rsid w:val="00511AE1"/>
    <w:rsid w:val="00512735"/>
    <w:rsid w:val="00513BAD"/>
    <w:rsid w:val="00513D5C"/>
    <w:rsid w:val="00514420"/>
    <w:rsid w:val="00515EB1"/>
    <w:rsid w:val="00516EDF"/>
    <w:rsid w:val="00517822"/>
    <w:rsid w:val="00520559"/>
    <w:rsid w:val="00520659"/>
    <w:rsid w:val="005236EA"/>
    <w:rsid w:val="00523D1E"/>
    <w:rsid w:val="005242CA"/>
    <w:rsid w:val="005263B4"/>
    <w:rsid w:val="00527BD6"/>
    <w:rsid w:val="00527C40"/>
    <w:rsid w:val="00530B70"/>
    <w:rsid w:val="00530CB7"/>
    <w:rsid w:val="00531093"/>
    <w:rsid w:val="00531A35"/>
    <w:rsid w:val="005337E7"/>
    <w:rsid w:val="00534354"/>
    <w:rsid w:val="0053445B"/>
    <w:rsid w:val="005348FF"/>
    <w:rsid w:val="005352D6"/>
    <w:rsid w:val="00535D4C"/>
    <w:rsid w:val="00542212"/>
    <w:rsid w:val="005424B1"/>
    <w:rsid w:val="00542516"/>
    <w:rsid w:val="00543CA0"/>
    <w:rsid w:val="00543E79"/>
    <w:rsid w:val="005473AE"/>
    <w:rsid w:val="005514A7"/>
    <w:rsid w:val="00552BD8"/>
    <w:rsid w:val="00553505"/>
    <w:rsid w:val="00553B53"/>
    <w:rsid w:val="00554016"/>
    <w:rsid w:val="00554078"/>
    <w:rsid w:val="005547C4"/>
    <w:rsid w:val="00555E4F"/>
    <w:rsid w:val="005566B6"/>
    <w:rsid w:val="005571A0"/>
    <w:rsid w:val="005605AE"/>
    <w:rsid w:val="00562630"/>
    <w:rsid w:val="0056331D"/>
    <w:rsid w:val="00563937"/>
    <w:rsid w:val="00564602"/>
    <w:rsid w:val="00564D16"/>
    <w:rsid w:val="0056522E"/>
    <w:rsid w:val="00565324"/>
    <w:rsid w:val="00565799"/>
    <w:rsid w:val="0056789E"/>
    <w:rsid w:val="0057001C"/>
    <w:rsid w:val="005719D6"/>
    <w:rsid w:val="00571CA4"/>
    <w:rsid w:val="00572C88"/>
    <w:rsid w:val="0057306B"/>
    <w:rsid w:val="005733B5"/>
    <w:rsid w:val="00573490"/>
    <w:rsid w:val="0057429B"/>
    <w:rsid w:val="00574576"/>
    <w:rsid w:val="00575101"/>
    <w:rsid w:val="0057736F"/>
    <w:rsid w:val="005809A2"/>
    <w:rsid w:val="00580D19"/>
    <w:rsid w:val="0058173A"/>
    <w:rsid w:val="00581A41"/>
    <w:rsid w:val="005822AB"/>
    <w:rsid w:val="00583ADB"/>
    <w:rsid w:val="00583FB6"/>
    <w:rsid w:val="00584523"/>
    <w:rsid w:val="00584B1B"/>
    <w:rsid w:val="00586256"/>
    <w:rsid w:val="00587434"/>
    <w:rsid w:val="00590013"/>
    <w:rsid w:val="00591299"/>
    <w:rsid w:val="0059131D"/>
    <w:rsid w:val="0059692F"/>
    <w:rsid w:val="005A0F69"/>
    <w:rsid w:val="005A15FB"/>
    <w:rsid w:val="005A1C47"/>
    <w:rsid w:val="005A2E60"/>
    <w:rsid w:val="005A5370"/>
    <w:rsid w:val="005A6D8E"/>
    <w:rsid w:val="005A6F5A"/>
    <w:rsid w:val="005A7A1C"/>
    <w:rsid w:val="005B157C"/>
    <w:rsid w:val="005B1F45"/>
    <w:rsid w:val="005B45CF"/>
    <w:rsid w:val="005B51B6"/>
    <w:rsid w:val="005B5846"/>
    <w:rsid w:val="005B6A3D"/>
    <w:rsid w:val="005B6BB6"/>
    <w:rsid w:val="005B6BE4"/>
    <w:rsid w:val="005C0710"/>
    <w:rsid w:val="005C0726"/>
    <w:rsid w:val="005C1427"/>
    <w:rsid w:val="005C1535"/>
    <w:rsid w:val="005C2099"/>
    <w:rsid w:val="005C31A0"/>
    <w:rsid w:val="005C5B43"/>
    <w:rsid w:val="005C6E5E"/>
    <w:rsid w:val="005D0002"/>
    <w:rsid w:val="005D03BD"/>
    <w:rsid w:val="005D0E76"/>
    <w:rsid w:val="005D26BE"/>
    <w:rsid w:val="005D2DB7"/>
    <w:rsid w:val="005D4C85"/>
    <w:rsid w:val="005D587B"/>
    <w:rsid w:val="005D6187"/>
    <w:rsid w:val="005D6BDC"/>
    <w:rsid w:val="005D6EE0"/>
    <w:rsid w:val="005D6FA4"/>
    <w:rsid w:val="005D794A"/>
    <w:rsid w:val="005E0334"/>
    <w:rsid w:val="005E0C3D"/>
    <w:rsid w:val="005E14E9"/>
    <w:rsid w:val="005E1BF5"/>
    <w:rsid w:val="005E1E27"/>
    <w:rsid w:val="005E2223"/>
    <w:rsid w:val="005E2F6E"/>
    <w:rsid w:val="005E2FF9"/>
    <w:rsid w:val="005E68C1"/>
    <w:rsid w:val="005E7C2F"/>
    <w:rsid w:val="005F140F"/>
    <w:rsid w:val="005F159C"/>
    <w:rsid w:val="005F18B7"/>
    <w:rsid w:val="005F1BA7"/>
    <w:rsid w:val="005F216C"/>
    <w:rsid w:val="005F21FB"/>
    <w:rsid w:val="005F23ED"/>
    <w:rsid w:val="005F2F82"/>
    <w:rsid w:val="005F3714"/>
    <w:rsid w:val="005F3889"/>
    <w:rsid w:val="005F4BAA"/>
    <w:rsid w:val="005F6314"/>
    <w:rsid w:val="005F7EE1"/>
    <w:rsid w:val="00601B1D"/>
    <w:rsid w:val="0060299F"/>
    <w:rsid w:val="00603E84"/>
    <w:rsid w:val="006041B3"/>
    <w:rsid w:val="006048AD"/>
    <w:rsid w:val="00604938"/>
    <w:rsid w:val="0060594D"/>
    <w:rsid w:val="00606456"/>
    <w:rsid w:val="00606B8B"/>
    <w:rsid w:val="00611CC4"/>
    <w:rsid w:val="006125B1"/>
    <w:rsid w:val="00612A51"/>
    <w:rsid w:val="00612B87"/>
    <w:rsid w:val="0061347B"/>
    <w:rsid w:val="006134B5"/>
    <w:rsid w:val="006146A5"/>
    <w:rsid w:val="006149F7"/>
    <w:rsid w:val="00615BBE"/>
    <w:rsid w:val="00615E3B"/>
    <w:rsid w:val="00616923"/>
    <w:rsid w:val="00616BB4"/>
    <w:rsid w:val="00616E1D"/>
    <w:rsid w:val="00616F5E"/>
    <w:rsid w:val="006170A6"/>
    <w:rsid w:val="006170AD"/>
    <w:rsid w:val="006174BE"/>
    <w:rsid w:val="00623FCF"/>
    <w:rsid w:val="006242DD"/>
    <w:rsid w:val="006256CE"/>
    <w:rsid w:val="006263D3"/>
    <w:rsid w:val="006273A5"/>
    <w:rsid w:val="006300D3"/>
    <w:rsid w:val="00631CAC"/>
    <w:rsid w:val="006321D6"/>
    <w:rsid w:val="00632AD0"/>
    <w:rsid w:val="006336B2"/>
    <w:rsid w:val="00633E3E"/>
    <w:rsid w:val="006341FD"/>
    <w:rsid w:val="00635155"/>
    <w:rsid w:val="0063546A"/>
    <w:rsid w:val="00637451"/>
    <w:rsid w:val="00637FAB"/>
    <w:rsid w:val="006406DC"/>
    <w:rsid w:val="0064140D"/>
    <w:rsid w:val="006414E6"/>
    <w:rsid w:val="006415D3"/>
    <w:rsid w:val="00641894"/>
    <w:rsid w:val="00642D35"/>
    <w:rsid w:val="00643401"/>
    <w:rsid w:val="00645121"/>
    <w:rsid w:val="006456B9"/>
    <w:rsid w:val="00646837"/>
    <w:rsid w:val="00646AFB"/>
    <w:rsid w:val="006479D9"/>
    <w:rsid w:val="0065021F"/>
    <w:rsid w:val="0065427D"/>
    <w:rsid w:val="0065462A"/>
    <w:rsid w:val="006558F9"/>
    <w:rsid w:val="006562FA"/>
    <w:rsid w:val="00656F1A"/>
    <w:rsid w:val="006605CF"/>
    <w:rsid w:val="0066065D"/>
    <w:rsid w:val="006616E3"/>
    <w:rsid w:val="00662F8A"/>
    <w:rsid w:val="00664B2D"/>
    <w:rsid w:val="00667E25"/>
    <w:rsid w:val="006702C4"/>
    <w:rsid w:val="00671373"/>
    <w:rsid w:val="00672E9F"/>
    <w:rsid w:val="0067454D"/>
    <w:rsid w:val="006755D3"/>
    <w:rsid w:val="0067638A"/>
    <w:rsid w:val="00677E41"/>
    <w:rsid w:val="00680D0B"/>
    <w:rsid w:val="006811A1"/>
    <w:rsid w:val="0068278C"/>
    <w:rsid w:val="00682A2F"/>
    <w:rsid w:val="0068337B"/>
    <w:rsid w:val="00683724"/>
    <w:rsid w:val="00683ED3"/>
    <w:rsid w:val="00684C6B"/>
    <w:rsid w:val="006868C0"/>
    <w:rsid w:val="00687BE9"/>
    <w:rsid w:val="006922CC"/>
    <w:rsid w:val="00692BB7"/>
    <w:rsid w:val="00692DA8"/>
    <w:rsid w:val="00693415"/>
    <w:rsid w:val="00693D80"/>
    <w:rsid w:val="0069481F"/>
    <w:rsid w:val="00694AAE"/>
    <w:rsid w:val="00695BE5"/>
    <w:rsid w:val="0069643C"/>
    <w:rsid w:val="006979BF"/>
    <w:rsid w:val="00697E9A"/>
    <w:rsid w:val="006A12FF"/>
    <w:rsid w:val="006A281F"/>
    <w:rsid w:val="006A4477"/>
    <w:rsid w:val="006A5413"/>
    <w:rsid w:val="006A5E80"/>
    <w:rsid w:val="006A61E8"/>
    <w:rsid w:val="006B04A3"/>
    <w:rsid w:val="006B076C"/>
    <w:rsid w:val="006B0953"/>
    <w:rsid w:val="006B0D58"/>
    <w:rsid w:val="006B2482"/>
    <w:rsid w:val="006B4BD0"/>
    <w:rsid w:val="006B5212"/>
    <w:rsid w:val="006B597F"/>
    <w:rsid w:val="006B6793"/>
    <w:rsid w:val="006B7EE6"/>
    <w:rsid w:val="006C24F8"/>
    <w:rsid w:val="006C327F"/>
    <w:rsid w:val="006C35DB"/>
    <w:rsid w:val="006C3739"/>
    <w:rsid w:val="006C3DAC"/>
    <w:rsid w:val="006C55DA"/>
    <w:rsid w:val="006C57D3"/>
    <w:rsid w:val="006C5FA4"/>
    <w:rsid w:val="006C6F1E"/>
    <w:rsid w:val="006C7204"/>
    <w:rsid w:val="006D1E24"/>
    <w:rsid w:val="006D2C09"/>
    <w:rsid w:val="006D3574"/>
    <w:rsid w:val="006D36D9"/>
    <w:rsid w:val="006D3969"/>
    <w:rsid w:val="006D4DB2"/>
    <w:rsid w:val="006D5604"/>
    <w:rsid w:val="006D5D62"/>
    <w:rsid w:val="006D6E9E"/>
    <w:rsid w:val="006D73B0"/>
    <w:rsid w:val="006D7D18"/>
    <w:rsid w:val="006E0A4E"/>
    <w:rsid w:val="006E0ED6"/>
    <w:rsid w:val="006E2D6D"/>
    <w:rsid w:val="006E4787"/>
    <w:rsid w:val="006E4791"/>
    <w:rsid w:val="006E5DE1"/>
    <w:rsid w:val="006E6E3F"/>
    <w:rsid w:val="006E7406"/>
    <w:rsid w:val="006F10A3"/>
    <w:rsid w:val="006F16F1"/>
    <w:rsid w:val="006F2060"/>
    <w:rsid w:val="006F225F"/>
    <w:rsid w:val="006F41E8"/>
    <w:rsid w:val="006F4E48"/>
    <w:rsid w:val="006F666F"/>
    <w:rsid w:val="006F6F7D"/>
    <w:rsid w:val="006F702F"/>
    <w:rsid w:val="006F79E9"/>
    <w:rsid w:val="00701E8C"/>
    <w:rsid w:val="00703E38"/>
    <w:rsid w:val="00704F0D"/>
    <w:rsid w:val="00706109"/>
    <w:rsid w:val="00706DC8"/>
    <w:rsid w:val="007116E4"/>
    <w:rsid w:val="00711852"/>
    <w:rsid w:val="00712547"/>
    <w:rsid w:val="00712B0F"/>
    <w:rsid w:val="00714CAB"/>
    <w:rsid w:val="00714DD9"/>
    <w:rsid w:val="00716040"/>
    <w:rsid w:val="00716728"/>
    <w:rsid w:val="00717595"/>
    <w:rsid w:val="007214E6"/>
    <w:rsid w:val="007218C3"/>
    <w:rsid w:val="00723813"/>
    <w:rsid w:val="007243F8"/>
    <w:rsid w:val="00725BBA"/>
    <w:rsid w:val="007272B6"/>
    <w:rsid w:val="00732287"/>
    <w:rsid w:val="00732D8D"/>
    <w:rsid w:val="007341CF"/>
    <w:rsid w:val="0073456F"/>
    <w:rsid w:val="0073513A"/>
    <w:rsid w:val="00737596"/>
    <w:rsid w:val="00742F5E"/>
    <w:rsid w:val="00745426"/>
    <w:rsid w:val="00745F37"/>
    <w:rsid w:val="00746C7C"/>
    <w:rsid w:val="00746EE9"/>
    <w:rsid w:val="00751AE2"/>
    <w:rsid w:val="00751B96"/>
    <w:rsid w:val="00752578"/>
    <w:rsid w:val="00753151"/>
    <w:rsid w:val="00753505"/>
    <w:rsid w:val="00753E4C"/>
    <w:rsid w:val="00754972"/>
    <w:rsid w:val="007553CA"/>
    <w:rsid w:val="0075594E"/>
    <w:rsid w:val="00756081"/>
    <w:rsid w:val="00756855"/>
    <w:rsid w:val="00757834"/>
    <w:rsid w:val="00757968"/>
    <w:rsid w:val="00757B0C"/>
    <w:rsid w:val="00757B6C"/>
    <w:rsid w:val="0076103F"/>
    <w:rsid w:val="00761246"/>
    <w:rsid w:val="00761C14"/>
    <w:rsid w:val="0076273A"/>
    <w:rsid w:val="00762A4A"/>
    <w:rsid w:val="00763061"/>
    <w:rsid w:val="00764160"/>
    <w:rsid w:val="00766B60"/>
    <w:rsid w:val="0076725C"/>
    <w:rsid w:val="007716B6"/>
    <w:rsid w:val="00771BA8"/>
    <w:rsid w:val="00771F86"/>
    <w:rsid w:val="007728A2"/>
    <w:rsid w:val="007744AD"/>
    <w:rsid w:val="00774C21"/>
    <w:rsid w:val="00780406"/>
    <w:rsid w:val="0078188A"/>
    <w:rsid w:val="00782FEE"/>
    <w:rsid w:val="0078312D"/>
    <w:rsid w:val="00785253"/>
    <w:rsid w:val="007877D5"/>
    <w:rsid w:val="00787E6B"/>
    <w:rsid w:val="00790A64"/>
    <w:rsid w:val="00791CFD"/>
    <w:rsid w:val="007929B4"/>
    <w:rsid w:val="00796B9D"/>
    <w:rsid w:val="00797746"/>
    <w:rsid w:val="007A0A52"/>
    <w:rsid w:val="007A0C02"/>
    <w:rsid w:val="007A1A6B"/>
    <w:rsid w:val="007A1A9F"/>
    <w:rsid w:val="007A3029"/>
    <w:rsid w:val="007A361F"/>
    <w:rsid w:val="007A4AA7"/>
    <w:rsid w:val="007A5619"/>
    <w:rsid w:val="007A5F97"/>
    <w:rsid w:val="007A66C1"/>
    <w:rsid w:val="007A6AE8"/>
    <w:rsid w:val="007A75FE"/>
    <w:rsid w:val="007A78A8"/>
    <w:rsid w:val="007B0491"/>
    <w:rsid w:val="007B057B"/>
    <w:rsid w:val="007B3149"/>
    <w:rsid w:val="007B5036"/>
    <w:rsid w:val="007B5445"/>
    <w:rsid w:val="007B6419"/>
    <w:rsid w:val="007B703A"/>
    <w:rsid w:val="007B7131"/>
    <w:rsid w:val="007B7CA7"/>
    <w:rsid w:val="007C077D"/>
    <w:rsid w:val="007C07A8"/>
    <w:rsid w:val="007C2441"/>
    <w:rsid w:val="007C310E"/>
    <w:rsid w:val="007C3369"/>
    <w:rsid w:val="007C4C1C"/>
    <w:rsid w:val="007C4F91"/>
    <w:rsid w:val="007C56D6"/>
    <w:rsid w:val="007C7480"/>
    <w:rsid w:val="007D4699"/>
    <w:rsid w:val="007D46EC"/>
    <w:rsid w:val="007D607F"/>
    <w:rsid w:val="007D6419"/>
    <w:rsid w:val="007D772E"/>
    <w:rsid w:val="007E050D"/>
    <w:rsid w:val="007E06B5"/>
    <w:rsid w:val="007E0769"/>
    <w:rsid w:val="007E2837"/>
    <w:rsid w:val="007E28C5"/>
    <w:rsid w:val="007E387E"/>
    <w:rsid w:val="007E3D8C"/>
    <w:rsid w:val="007E5DC4"/>
    <w:rsid w:val="007E637D"/>
    <w:rsid w:val="007E7E11"/>
    <w:rsid w:val="007F037E"/>
    <w:rsid w:val="007F169F"/>
    <w:rsid w:val="007F27A8"/>
    <w:rsid w:val="007F306F"/>
    <w:rsid w:val="007F461B"/>
    <w:rsid w:val="007F6996"/>
    <w:rsid w:val="007F7792"/>
    <w:rsid w:val="007F7D59"/>
    <w:rsid w:val="007F7DAA"/>
    <w:rsid w:val="0080007B"/>
    <w:rsid w:val="00800580"/>
    <w:rsid w:val="0080185D"/>
    <w:rsid w:val="008025F6"/>
    <w:rsid w:val="0080277F"/>
    <w:rsid w:val="00802DBE"/>
    <w:rsid w:val="008031DA"/>
    <w:rsid w:val="008035F5"/>
    <w:rsid w:val="00803832"/>
    <w:rsid w:val="00805572"/>
    <w:rsid w:val="00805F20"/>
    <w:rsid w:val="0080646B"/>
    <w:rsid w:val="0080779D"/>
    <w:rsid w:val="00810E84"/>
    <w:rsid w:val="0081227F"/>
    <w:rsid w:val="00812CB8"/>
    <w:rsid w:val="008130D7"/>
    <w:rsid w:val="00814643"/>
    <w:rsid w:val="00814C3A"/>
    <w:rsid w:val="008157EC"/>
    <w:rsid w:val="008163A1"/>
    <w:rsid w:val="00816614"/>
    <w:rsid w:val="00816620"/>
    <w:rsid w:val="00820EEE"/>
    <w:rsid w:val="008217DB"/>
    <w:rsid w:val="00822871"/>
    <w:rsid w:val="00822AC9"/>
    <w:rsid w:val="00823826"/>
    <w:rsid w:val="00824CDA"/>
    <w:rsid w:val="0082728A"/>
    <w:rsid w:val="00830214"/>
    <w:rsid w:val="008304B7"/>
    <w:rsid w:val="00830508"/>
    <w:rsid w:val="00830B76"/>
    <w:rsid w:val="00832641"/>
    <w:rsid w:val="00832FD5"/>
    <w:rsid w:val="00833CD0"/>
    <w:rsid w:val="0083474E"/>
    <w:rsid w:val="00834997"/>
    <w:rsid w:val="0083633E"/>
    <w:rsid w:val="00837ECC"/>
    <w:rsid w:val="008410FF"/>
    <w:rsid w:val="0084207A"/>
    <w:rsid w:val="00843D83"/>
    <w:rsid w:val="008447A5"/>
    <w:rsid w:val="0084526D"/>
    <w:rsid w:val="00846062"/>
    <w:rsid w:val="0084705D"/>
    <w:rsid w:val="00850A6F"/>
    <w:rsid w:val="008514EB"/>
    <w:rsid w:val="00852484"/>
    <w:rsid w:val="00852D1A"/>
    <w:rsid w:val="008530B8"/>
    <w:rsid w:val="00854470"/>
    <w:rsid w:val="00855FA8"/>
    <w:rsid w:val="0085683F"/>
    <w:rsid w:val="00860C7B"/>
    <w:rsid w:val="00863311"/>
    <w:rsid w:val="008642FC"/>
    <w:rsid w:val="008654B1"/>
    <w:rsid w:val="00866FEA"/>
    <w:rsid w:val="00867347"/>
    <w:rsid w:val="00870672"/>
    <w:rsid w:val="008722E5"/>
    <w:rsid w:val="00872D48"/>
    <w:rsid w:val="00873617"/>
    <w:rsid w:val="0087390C"/>
    <w:rsid w:val="00875D54"/>
    <w:rsid w:val="00876539"/>
    <w:rsid w:val="008778A2"/>
    <w:rsid w:val="0088000D"/>
    <w:rsid w:val="00880BE2"/>
    <w:rsid w:val="00880DBE"/>
    <w:rsid w:val="008823CE"/>
    <w:rsid w:val="008835C3"/>
    <w:rsid w:val="008837BA"/>
    <w:rsid w:val="0088469D"/>
    <w:rsid w:val="008849BF"/>
    <w:rsid w:val="00886817"/>
    <w:rsid w:val="00886F92"/>
    <w:rsid w:val="00887F75"/>
    <w:rsid w:val="00890BCD"/>
    <w:rsid w:val="00891757"/>
    <w:rsid w:val="00892616"/>
    <w:rsid w:val="00893678"/>
    <w:rsid w:val="008947D2"/>
    <w:rsid w:val="00895326"/>
    <w:rsid w:val="0089678B"/>
    <w:rsid w:val="00896FFE"/>
    <w:rsid w:val="008A1733"/>
    <w:rsid w:val="008A4B52"/>
    <w:rsid w:val="008A78A1"/>
    <w:rsid w:val="008B025F"/>
    <w:rsid w:val="008B10B3"/>
    <w:rsid w:val="008B2EBA"/>
    <w:rsid w:val="008B3591"/>
    <w:rsid w:val="008B4776"/>
    <w:rsid w:val="008B5348"/>
    <w:rsid w:val="008B6145"/>
    <w:rsid w:val="008B6A05"/>
    <w:rsid w:val="008B77EA"/>
    <w:rsid w:val="008B7AA8"/>
    <w:rsid w:val="008C152C"/>
    <w:rsid w:val="008C178B"/>
    <w:rsid w:val="008C2A4D"/>
    <w:rsid w:val="008C3840"/>
    <w:rsid w:val="008C57E1"/>
    <w:rsid w:val="008C6C7E"/>
    <w:rsid w:val="008C7535"/>
    <w:rsid w:val="008D03E0"/>
    <w:rsid w:val="008D0E03"/>
    <w:rsid w:val="008E0504"/>
    <w:rsid w:val="008E263D"/>
    <w:rsid w:val="008E3B1C"/>
    <w:rsid w:val="008E3BE6"/>
    <w:rsid w:val="008E3FEE"/>
    <w:rsid w:val="008E4151"/>
    <w:rsid w:val="008F2D37"/>
    <w:rsid w:val="008F3431"/>
    <w:rsid w:val="008F4E02"/>
    <w:rsid w:val="008F56EC"/>
    <w:rsid w:val="008F5B84"/>
    <w:rsid w:val="008F7240"/>
    <w:rsid w:val="00900307"/>
    <w:rsid w:val="0090039E"/>
    <w:rsid w:val="0090060E"/>
    <w:rsid w:val="009006FE"/>
    <w:rsid w:val="00900A79"/>
    <w:rsid w:val="009019E1"/>
    <w:rsid w:val="00902408"/>
    <w:rsid w:val="00903361"/>
    <w:rsid w:val="00904042"/>
    <w:rsid w:val="00905370"/>
    <w:rsid w:val="00905962"/>
    <w:rsid w:val="009060CE"/>
    <w:rsid w:val="00906C58"/>
    <w:rsid w:val="00907155"/>
    <w:rsid w:val="009077FF"/>
    <w:rsid w:val="00911BA0"/>
    <w:rsid w:val="009141A1"/>
    <w:rsid w:val="00914A87"/>
    <w:rsid w:val="00916193"/>
    <w:rsid w:val="00916E62"/>
    <w:rsid w:val="0091770F"/>
    <w:rsid w:val="0092084A"/>
    <w:rsid w:val="0092140A"/>
    <w:rsid w:val="00923720"/>
    <w:rsid w:val="009241FB"/>
    <w:rsid w:val="00924B9D"/>
    <w:rsid w:val="009253CB"/>
    <w:rsid w:val="00932FA6"/>
    <w:rsid w:val="00937277"/>
    <w:rsid w:val="00941308"/>
    <w:rsid w:val="0094473F"/>
    <w:rsid w:val="009449A2"/>
    <w:rsid w:val="00944E0C"/>
    <w:rsid w:val="00945F08"/>
    <w:rsid w:val="0094774A"/>
    <w:rsid w:val="00951DC5"/>
    <w:rsid w:val="00952287"/>
    <w:rsid w:val="00954EE4"/>
    <w:rsid w:val="009566EB"/>
    <w:rsid w:val="00957742"/>
    <w:rsid w:val="00963A49"/>
    <w:rsid w:val="00963CD6"/>
    <w:rsid w:val="00963ED1"/>
    <w:rsid w:val="00965DEC"/>
    <w:rsid w:val="00966853"/>
    <w:rsid w:val="00966B34"/>
    <w:rsid w:val="00967C23"/>
    <w:rsid w:val="009707CA"/>
    <w:rsid w:val="0097164F"/>
    <w:rsid w:val="0097316A"/>
    <w:rsid w:val="0097321D"/>
    <w:rsid w:val="00974FE6"/>
    <w:rsid w:val="009767B5"/>
    <w:rsid w:val="00976D44"/>
    <w:rsid w:val="009802A4"/>
    <w:rsid w:val="00980E79"/>
    <w:rsid w:val="00980F02"/>
    <w:rsid w:val="0098157D"/>
    <w:rsid w:val="00983604"/>
    <w:rsid w:val="00983806"/>
    <w:rsid w:val="00983B1F"/>
    <w:rsid w:val="00984C92"/>
    <w:rsid w:val="00984F6F"/>
    <w:rsid w:val="0098572E"/>
    <w:rsid w:val="0098690A"/>
    <w:rsid w:val="009876B2"/>
    <w:rsid w:val="00987DB5"/>
    <w:rsid w:val="00991447"/>
    <w:rsid w:val="00994596"/>
    <w:rsid w:val="0099463C"/>
    <w:rsid w:val="00994A03"/>
    <w:rsid w:val="00994C23"/>
    <w:rsid w:val="00994D79"/>
    <w:rsid w:val="00997F9E"/>
    <w:rsid w:val="009A0DAC"/>
    <w:rsid w:val="009A184D"/>
    <w:rsid w:val="009A2F08"/>
    <w:rsid w:val="009A4B47"/>
    <w:rsid w:val="009A5DB0"/>
    <w:rsid w:val="009A5E01"/>
    <w:rsid w:val="009A6E4E"/>
    <w:rsid w:val="009A7438"/>
    <w:rsid w:val="009B1E34"/>
    <w:rsid w:val="009B245D"/>
    <w:rsid w:val="009B2A71"/>
    <w:rsid w:val="009B33ED"/>
    <w:rsid w:val="009B3539"/>
    <w:rsid w:val="009B3E00"/>
    <w:rsid w:val="009B4B07"/>
    <w:rsid w:val="009B51F7"/>
    <w:rsid w:val="009B6748"/>
    <w:rsid w:val="009B7EB1"/>
    <w:rsid w:val="009C0BC2"/>
    <w:rsid w:val="009C1319"/>
    <w:rsid w:val="009C292D"/>
    <w:rsid w:val="009C37E7"/>
    <w:rsid w:val="009C436E"/>
    <w:rsid w:val="009C43E0"/>
    <w:rsid w:val="009D06B9"/>
    <w:rsid w:val="009D075F"/>
    <w:rsid w:val="009D0E1B"/>
    <w:rsid w:val="009D1CC4"/>
    <w:rsid w:val="009D289C"/>
    <w:rsid w:val="009D2B2D"/>
    <w:rsid w:val="009D3253"/>
    <w:rsid w:val="009D3285"/>
    <w:rsid w:val="009D37DF"/>
    <w:rsid w:val="009D416D"/>
    <w:rsid w:val="009D451A"/>
    <w:rsid w:val="009D4A1E"/>
    <w:rsid w:val="009D4D93"/>
    <w:rsid w:val="009D5463"/>
    <w:rsid w:val="009D5FDA"/>
    <w:rsid w:val="009D7270"/>
    <w:rsid w:val="009D7598"/>
    <w:rsid w:val="009E075E"/>
    <w:rsid w:val="009E1A71"/>
    <w:rsid w:val="009E274F"/>
    <w:rsid w:val="009E3546"/>
    <w:rsid w:val="009E6B4E"/>
    <w:rsid w:val="009E7330"/>
    <w:rsid w:val="009F0DDF"/>
    <w:rsid w:val="009F2DF8"/>
    <w:rsid w:val="009F327F"/>
    <w:rsid w:val="009F34D1"/>
    <w:rsid w:val="009F3E27"/>
    <w:rsid w:val="009F60E9"/>
    <w:rsid w:val="009F672D"/>
    <w:rsid w:val="009F6834"/>
    <w:rsid w:val="009F6CAA"/>
    <w:rsid w:val="009F7F8B"/>
    <w:rsid w:val="00A00023"/>
    <w:rsid w:val="00A00931"/>
    <w:rsid w:val="00A00DE5"/>
    <w:rsid w:val="00A0255F"/>
    <w:rsid w:val="00A03703"/>
    <w:rsid w:val="00A037B5"/>
    <w:rsid w:val="00A03872"/>
    <w:rsid w:val="00A03EAC"/>
    <w:rsid w:val="00A04C6C"/>
    <w:rsid w:val="00A05C83"/>
    <w:rsid w:val="00A06708"/>
    <w:rsid w:val="00A0760D"/>
    <w:rsid w:val="00A1133B"/>
    <w:rsid w:val="00A12E94"/>
    <w:rsid w:val="00A1389B"/>
    <w:rsid w:val="00A138B5"/>
    <w:rsid w:val="00A14013"/>
    <w:rsid w:val="00A143DB"/>
    <w:rsid w:val="00A146D0"/>
    <w:rsid w:val="00A14D1A"/>
    <w:rsid w:val="00A15649"/>
    <w:rsid w:val="00A17508"/>
    <w:rsid w:val="00A176C4"/>
    <w:rsid w:val="00A17EDF"/>
    <w:rsid w:val="00A20AEB"/>
    <w:rsid w:val="00A21041"/>
    <w:rsid w:val="00A2358E"/>
    <w:rsid w:val="00A23682"/>
    <w:rsid w:val="00A240BB"/>
    <w:rsid w:val="00A24819"/>
    <w:rsid w:val="00A24B66"/>
    <w:rsid w:val="00A25931"/>
    <w:rsid w:val="00A26870"/>
    <w:rsid w:val="00A26C30"/>
    <w:rsid w:val="00A2705E"/>
    <w:rsid w:val="00A27687"/>
    <w:rsid w:val="00A30FAC"/>
    <w:rsid w:val="00A3195D"/>
    <w:rsid w:val="00A31A42"/>
    <w:rsid w:val="00A31DE3"/>
    <w:rsid w:val="00A339BF"/>
    <w:rsid w:val="00A3490F"/>
    <w:rsid w:val="00A371BD"/>
    <w:rsid w:val="00A40F1A"/>
    <w:rsid w:val="00A4488B"/>
    <w:rsid w:val="00A44BCB"/>
    <w:rsid w:val="00A45888"/>
    <w:rsid w:val="00A50E74"/>
    <w:rsid w:val="00A50EB0"/>
    <w:rsid w:val="00A526BC"/>
    <w:rsid w:val="00A613AC"/>
    <w:rsid w:val="00A6371D"/>
    <w:rsid w:val="00A63A59"/>
    <w:rsid w:val="00A64650"/>
    <w:rsid w:val="00A65011"/>
    <w:rsid w:val="00A6565C"/>
    <w:rsid w:val="00A657B5"/>
    <w:rsid w:val="00A65D15"/>
    <w:rsid w:val="00A66FA9"/>
    <w:rsid w:val="00A67647"/>
    <w:rsid w:val="00A7082A"/>
    <w:rsid w:val="00A70DC6"/>
    <w:rsid w:val="00A72610"/>
    <w:rsid w:val="00A73225"/>
    <w:rsid w:val="00A73AAD"/>
    <w:rsid w:val="00A73B0D"/>
    <w:rsid w:val="00A73B72"/>
    <w:rsid w:val="00A748C4"/>
    <w:rsid w:val="00A74ADB"/>
    <w:rsid w:val="00A7670B"/>
    <w:rsid w:val="00A8014C"/>
    <w:rsid w:val="00A80BF5"/>
    <w:rsid w:val="00A81304"/>
    <w:rsid w:val="00A81D68"/>
    <w:rsid w:val="00A8409C"/>
    <w:rsid w:val="00A84359"/>
    <w:rsid w:val="00A84B9D"/>
    <w:rsid w:val="00A85717"/>
    <w:rsid w:val="00A8604B"/>
    <w:rsid w:val="00A86199"/>
    <w:rsid w:val="00A86B2C"/>
    <w:rsid w:val="00A92078"/>
    <w:rsid w:val="00A925C1"/>
    <w:rsid w:val="00A931DC"/>
    <w:rsid w:val="00A94C66"/>
    <w:rsid w:val="00A94E26"/>
    <w:rsid w:val="00A960E3"/>
    <w:rsid w:val="00AA0F75"/>
    <w:rsid w:val="00AA1554"/>
    <w:rsid w:val="00AA25C2"/>
    <w:rsid w:val="00AA40AD"/>
    <w:rsid w:val="00AA573D"/>
    <w:rsid w:val="00AA5754"/>
    <w:rsid w:val="00AA7105"/>
    <w:rsid w:val="00AA74A7"/>
    <w:rsid w:val="00AB446A"/>
    <w:rsid w:val="00AB530C"/>
    <w:rsid w:val="00AB693A"/>
    <w:rsid w:val="00AB6B7D"/>
    <w:rsid w:val="00AB720C"/>
    <w:rsid w:val="00AB7761"/>
    <w:rsid w:val="00AB7B5E"/>
    <w:rsid w:val="00AC0B1B"/>
    <w:rsid w:val="00AC1F47"/>
    <w:rsid w:val="00AC2066"/>
    <w:rsid w:val="00AC5025"/>
    <w:rsid w:val="00AC50FF"/>
    <w:rsid w:val="00AC54EA"/>
    <w:rsid w:val="00AC6546"/>
    <w:rsid w:val="00AC65DE"/>
    <w:rsid w:val="00AC67B1"/>
    <w:rsid w:val="00AD0333"/>
    <w:rsid w:val="00AD1D93"/>
    <w:rsid w:val="00AD1D94"/>
    <w:rsid w:val="00AD1FB9"/>
    <w:rsid w:val="00AD392E"/>
    <w:rsid w:val="00AD4488"/>
    <w:rsid w:val="00AD45BD"/>
    <w:rsid w:val="00AD4ABA"/>
    <w:rsid w:val="00AD4D14"/>
    <w:rsid w:val="00AD67FC"/>
    <w:rsid w:val="00AD7D70"/>
    <w:rsid w:val="00AE10F7"/>
    <w:rsid w:val="00AE2E09"/>
    <w:rsid w:val="00AE3FFF"/>
    <w:rsid w:val="00AE5CCD"/>
    <w:rsid w:val="00AF07F8"/>
    <w:rsid w:val="00AF172F"/>
    <w:rsid w:val="00AF283F"/>
    <w:rsid w:val="00AF3F35"/>
    <w:rsid w:val="00AF4650"/>
    <w:rsid w:val="00AF5257"/>
    <w:rsid w:val="00AF6CEA"/>
    <w:rsid w:val="00B00D84"/>
    <w:rsid w:val="00B032A1"/>
    <w:rsid w:val="00B03444"/>
    <w:rsid w:val="00B04072"/>
    <w:rsid w:val="00B04E38"/>
    <w:rsid w:val="00B0521A"/>
    <w:rsid w:val="00B06B80"/>
    <w:rsid w:val="00B11587"/>
    <w:rsid w:val="00B11D0E"/>
    <w:rsid w:val="00B12083"/>
    <w:rsid w:val="00B124E7"/>
    <w:rsid w:val="00B130D3"/>
    <w:rsid w:val="00B13203"/>
    <w:rsid w:val="00B13CB7"/>
    <w:rsid w:val="00B13D07"/>
    <w:rsid w:val="00B13F7E"/>
    <w:rsid w:val="00B14866"/>
    <w:rsid w:val="00B14B00"/>
    <w:rsid w:val="00B14DC0"/>
    <w:rsid w:val="00B158A3"/>
    <w:rsid w:val="00B15BF2"/>
    <w:rsid w:val="00B169CE"/>
    <w:rsid w:val="00B16C4F"/>
    <w:rsid w:val="00B17A38"/>
    <w:rsid w:val="00B204D6"/>
    <w:rsid w:val="00B20E56"/>
    <w:rsid w:val="00B21C42"/>
    <w:rsid w:val="00B23364"/>
    <w:rsid w:val="00B2362D"/>
    <w:rsid w:val="00B23EA6"/>
    <w:rsid w:val="00B249FB"/>
    <w:rsid w:val="00B24F8D"/>
    <w:rsid w:val="00B25905"/>
    <w:rsid w:val="00B26B32"/>
    <w:rsid w:val="00B30ED0"/>
    <w:rsid w:val="00B3158E"/>
    <w:rsid w:val="00B32B56"/>
    <w:rsid w:val="00B33F92"/>
    <w:rsid w:val="00B3411C"/>
    <w:rsid w:val="00B342E0"/>
    <w:rsid w:val="00B342EB"/>
    <w:rsid w:val="00B3659D"/>
    <w:rsid w:val="00B365DB"/>
    <w:rsid w:val="00B37948"/>
    <w:rsid w:val="00B405CE"/>
    <w:rsid w:val="00B413AB"/>
    <w:rsid w:val="00B4269C"/>
    <w:rsid w:val="00B43C26"/>
    <w:rsid w:val="00B4425E"/>
    <w:rsid w:val="00B443BA"/>
    <w:rsid w:val="00B44D49"/>
    <w:rsid w:val="00B46D39"/>
    <w:rsid w:val="00B4723C"/>
    <w:rsid w:val="00B53902"/>
    <w:rsid w:val="00B53FB6"/>
    <w:rsid w:val="00B54BA5"/>
    <w:rsid w:val="00B5660A"/>
    <w:rsid w:val="00B57526"/>
    <w:rsid w:val="00B57FC2"/>
    <w:rsid w:val="00B606C1"/>
    <w:rsid w:val="00B607F1"/>
    <w:rsid w:val="00B60975"/>
    <w:rsid w:val="00B6120D"/>
    <w:rsid w:val="00B614B8"/>
    <w:rsid w:val="00B617E6"/>
    <w:rsid w:val="00B63356"/>
    <w:rsid w:val="00B647FB"/>
    <w:rsid w:val="00B64E0B"/>
    <w:rsid w:val="00B65A77"/>
    <w:rsid w:val="00B65D23"/>
    <w:rsid w:val="00B66093"/>
    <w:rsid w:val="00B668A7"/>
    <w:rsid w:val="00B672FC"/>
    <w:rsid w:val="00B70889"/>
    <w:rsid w:val="00B70F37"/>
    <w:rsid w:val="00B71D6D"/>
    <w:rsid w:val="00B73324"/>
    <w:rsid w:val="00B73F9D"/>
    <w:rsid w:val="00B740B9"/>
    <w:rsid w:val="00B74869"/>
    <w:rsid w:val="00B777E5"/>
    <w:rsid w:val="00B77F15"/>
    <w:rsid w:val="00B80FB0"/>
    <w:rsid w:val="00B8117B"/>
    <w:rsid w:val="00B83C6E"/>
    <w:rsid w:val="00B86232"/>
    <w:rsid w:val="00B86E07"/>
    <w:rsid w:val="00B87253"/>
    <w:rsid w:val="00B87E83"/>
    <w:rsid w:val="00B9134F"/>
    <w:rsid w:val="00B9238D"/>
    <w:rsid w:val="00B9297E"/>
    <w:rsid w:val="00B92BAF"/>
    <w:rsid w:val="00B92D97"/>
    <w:rsid w:val="00B92F77"/>
    <w:rsid w:val="00B93FC6"/>
    <w:rsid w:val="00B941BA"/>
    <w:rsid w:val="00B9448A"/>
    <w:rsid w:val="00B95368"/>
    <w:rsid w:val="00B959E5"/>
    <w:rsid w:val="00B97226"/>
    <w:rsid w:val="00BA0B0F"/>
    <w:rsid w:val="00BA1047"/>
    <w:rsid w:val="00BA20BC"/>
    <w:rsid w:val="00BA2C08"/>
    <w:rsid w:val="00BA560E"/>
    <w:rsid w:val="00BA5662"/>
    <w:rsid w:val="00BA6128"/>
    <w:rsid w:val="00BA7C9C"/>
    <w:rsid w:val="00BB041A"/>
    <w:rsid w:val="00BB1469"/>
    <w:rsid w:val="00BB1691"/>
    <w:rsid w:val="00BB1CBF"/>
    <w:rsid w:val="00BB2C82"/>
    <w:rsid w:val="00BB6429"/>
    <w:rsid w:val="00BB70B3"/>
    <w:rsid w:val="00BB7CE5"/>
    <w:rsid w:val="00BC0741"/>
    <w:rsid w:val="00BC2519"/>
    <w:rsid w:val="00BC2785"/>
    <w:rsid w:val="00BC2876"/>
    <w:rsid w:val="00BC4615"/>
    <w:rsid w:val="00BC470E"/>
    <w:rsid w:val="00BC604F"/>
    <w:rsid w:val="00BD4C7B"/>
    <w:rsid w:val="00BD7B6D"/>
    <w:rsid w:val="00BD7DF8"/>
    <w:rsid w:val="00BE07A5"/>
    <w:rsid w:val="00BE0C34"/>
    <w:rsid w:val="00BE2884"/>
    <w:rsid w:val="00BE37D3"/>
    <w:rsid w:val="00BE3DB6"/>
    <w:rsid w:val="00BE54F6"/>
    <w:rsid w:val="00BE5740"/>
    <w:rsid w:val="00BE63E9"/>
    <w:rsid w:val="00BE6821"/>
    <w:rsid w:val="00BE6936"/>
    <w:rsid w:val="00BE75CE"/>
    <w:rsid w:val="00BE78B4"/>
    <w:rsid w:val="00BF01C7"/>
    <w:rsid w:val="00BF072B"/>
    <w:rsid w:val="00BF0AE8"/>
    <w:rsid w:val="00BF12D7"/>
    <w:rsid w:val="00BF2371"/>
    <w:rsid w:val="00BF3BA8"/>
    <w:rsid w:val="00BF4286"/>
    <w:rsid w:val="00BF6455"/>
    <w:rsid w:val="00BF7A04"/>
    <w:rsid w:val="00BF7A38"/>
    <w:rsid w:val="00C00EB6"/>
    <w:rsid w:val="00C0187E"/>
    <w:rsid w:val="00C01DC7"/>
    <w:rsid w:val="00C0247E"/>
    <w:rsid w:val="00C10007"/>
    <w:rsid w:val="00C100A3"/>
    <w:rsid w:val="00C108E6"/>
    <w:rsid w:val="00C12D62"/>
    <w:rsid w:val="00C1455E"/>
    <w:rsid w:val="00C22043"/>
    <w:rsid w:val="00C223F1"/>
    <w:rsid w:val="00C228D1"/>
    <w:rsid w:val="00C23B89"/>
    <w:rsid w:val="00C2467F"/>
    <w:rsid w:val="00C24E26"/>
    <w:rsid w:val="00C25075"/>
    <w:rsid w:val="00C26CB0"/>
    <w:rsid w:val="00C2738A"/>
    <w:rsid w:val="00C32543"/>
    <w:rsid w:val="00C32F0F"/>
    <w:rsid w:val="00C350EB"/>
    <w:rsid w:val="00C40015"/>
    <w:rsid w:val="00C40F7C"/>
    <w:rsid w:val="00C40FCF"/>
    <w:rsid w:val="00C41C9F"/>
    <w:rsid w:val="00C42863"/>
    <w:rsid w:val="00C445DF"/>
    <w:rsid w:val="00C44828"/>
    <w:rsid w:val="00C46E3F"/>
    <w:rsid w:val="00C47153"/>
    <w:rsid w:val="00C4789D"/>
    <w:rsid w:val="00C47A25"/>
    <w:rsid w:val="00C51A48"/>
    <w:rsid w:val="00C53055"/>
    <w:rsid w:val="00C53E65"/>
    <w:rsid w:val="00C55477"/>
    <w:rsid w:val="00C55D4D"/>
    <w:rsid w:val="00C56058"/>
    <w:rsid w:val="00C574DD"/>
    <w:rsid w:val="00C60E2C"/>
    <w:rsid w:val="00C60FA0"/>
    <w:rsid w:val="00C613F6"/>
    <w:rsid w:val="00C62B73"/>
    <w:rsid w:val="00C63A64"/>
    <w:rsid w:val="00C6586D"/>
    <w:rsid w:val="00C65927"/>
    <w:rsid w:val="00C67117"/>
    <w:rsid w:val="00C7007A"/>
    <w:rsid w:val="00C70909"/>
    <w:rsid w:val="00C71A39"/>
    <w:rsid w:val="00C727B8"/>
    <w:rsid w:val="00C72E98"/>
    <w:rsid w:val="00C758E5"/>
    <w:rsid w:val="00C763BE"/>
    <w:rsid w:val="00C805ED"/>
    <w:rsid w:val="00C81948"/>
    <w:rsid w:val="00C81F1A"/>
    <w:rsid w:val="00C8201D"/>
    <w:rsid w:val="00C823BB"/>
    <w:rsid w:val="00C82BDE"/>
    <w:rsid w:val="00C82EC3"/>
    <w:rsid w:val="00C82EDC"/>
    <w:rsid w:val="00C8504B"/>
    <w:rsid w:val="00C8534F"/>
    <w:rsid w:val="00C858ED"/>
    <w:rsid w:val="00C864FE"/>
    <w:rsid w:val="00C90159"/>
    <w:rsid w:val="00C9117B"/>
    <w:rsid w:val="00C91390"/>
    <w:rsid w:val="00C92FA0"/>
    <w:rsid w:val="00C93E01"/>
    <w:rsid w:val="00C94864"/>
    <w:rsid w:val="00C95389"/>
    <w:rsid w:val="00C95E58"/>
    <w:rsid w:val="00C97925"/>
    <w:rsid w:val="00CA02FA"/>
    <w:rsid w:val="00CA2E53"/>
    <w:rsid w:val="00CA4659"/>
    <w:rsid w:val="00CA4D82"/>
    <w:rsid w:val="00CA5C62"/>
    <w:rsid w:val="00CA61FD"/>
    <w:rsid w:val="00CB109F"/>
    <w:rsid w:val="00CB1DE7"/>
    <w:rsid w:val="00CB2E92"/>
    <w:rsid w:val="00CB2FD2"/>
    <w:rsid w:val="00CB380C"/>
    <w:rsid w:val="00CB5C83"/>
    <w:rsid w:val="00CC1583"/>
    <w:rsid w:val="00CC1DDE"/>
    <w:rsid w:val="00CC1FF6"/>
    <w:rsid w:val="00CC2798"/>
    <w:rsid w:val="00CC3612"/>
    <w:rsid w:val="00CC3E10"/>
    <w:rsid w:val="00CC4074"/>
    <w:rsid w:val="00CC52FB"/>
    <w:rsid w:val="00CC6075"/>
    <w:rsid w:val="00CC668F"/>
    <w:rsid w:val="00CC71B6"/>
    <w:rsid w:val="00CC7467"/>
    <w:rsid w:val="00CD0E17"/>
    <w:rsid w:val="00CD31BA"/>
    <w:rsid w:val="00CD3921"/>
    <w:rsid w:val="00CD3BC0"/>
    <w:rsid w:val="00CD6526"/>
    <w:rsid w:val="00CD673F"/>
    <w:rsid w:val="00CE25F0"/>
    <w:rsid w:val="00CE4D9B"/>
    <w:rsid w:val="00CE5A8C"/>
    <w:rsid w:val="00CE5ABD"/>
    <w:rsid w:val="00CF0C85"/>
    <w:rsid w:val="00CF0E15"/>
    <w:rsid w:val="00CF2BB1"/>
    <w:rsid w:val="00CF36EF"/>
    <w:rsid w:val="00CF3761"/>
    <w:rsid w:val="00CF3B2D"/>
    <w:rsid w:val="00CF55A0"/>
    <w:rsid w:val="00CF6D9F"/>
    <w:rsid w:val="00CF6F32"/>
    <w:rsid w:val="00D005A5"/>
    <w:rsid w:val="00D006BA"/>
    <w:rsid w:val="00D01A39"/>
    <w:rsid w:val="00D01BC1"/>
    <w:rsid w:val="00D01F73"/>
    <w:rsid w:val="00D0299E"/>
    <w:rsid w:val="00D03DA7"/>
    <w:rsid w:val="00D040C1"/>
    <w:rsid w:val="00D0444D"/>
    <w:rsid w:val="00D05260"/>
    <w:rsid w:val="00D0592E"/>
    <w:rsid w:val="00D06B19"/>
    <w:rsid w:val="00D0739A"/>
    <w:rsid w:val="00D07AAC"/>
    <w:rsid w:val="00D12222"/>
    <w:rsid w:val="00D13165"/>
    <w:rsid w:val="00D13B0B"/>
    <w:rsid w:val="00D13E87"/>
    <w:rsid w:val="00D14875"/>
    <w:rsid w:val="00D178E8"/>
    <w:rsid w:val="00D17D5C"/>
    <w:rsid w:val="00D200E4"/>
    <w:rsid w:val="00D250AD"/>
    <w:rsid w:val="00D251F4"/>
    <w:rsid w:val="00D25299"/>
    <w:rsid w:val="00D258BB"/>
    <w:rsid w:val="00D25F76"/>
    <w:rsid w:val="00D26745"/>
    <w:rsid w:val="00D27626"/>
    <w:rsid w:val="00D3075E"/>
    <w:rsid w:val="00D30A5B"/>
    <w:rsid w:val="00D31049"/>
    <w:rsid w:val="00D312C1"/>
    <w:rsid w:val="00D3170D"/>
    <w:rsid w:val="00D335AD"/>
    <w:rsid w:val="00D33FA5"/>
    <w:rsid w:val="00D3442F"/>
    <w:rsid w:val="00D346D4"/>
    <w:rsid w:val="00D34725"/>
    <w:rsid w:val="00D3537D"/>
    <w:rsid w:val="00D3558C"/>
    <w:rsid w:val="00D36FBF"/>
    <w:rsid w:val="00D41A04"/>
    <w:rsid w:val="00D425D7"/>
    <w:rsid w:val="00D43824"/>
    <w:rsid w:val="00D43AD9"/>
    <w:rsid w:val="00D44E0F"/>
    <w:rsid w:val="00D45367"/>
    <w:rsid w:val="00D45617"/>
    <w:rsid w:val="00D47422"/>
    <w:rsid w:val="00D5014D"/>
    <w:rsid w:val="00D50578"/>
    <w:rsid w:val="00D510DA"/>
    <w:rsid w:val="00D527A5"/>
    <w:rsid w:val="00D52AF0"/>
    <w:rsid w:val="00D52E3B"/>
    <w:rsid w:val="00D53511"/>
    <w:rsid w:val="00D55901"/>
    <w:rsid w:val="00D5599F"/>
    <w:rsid w:val="00D55D0B"/>
    <w:rsid w:val="00D56531"/>
    <w:rsid w:val="00D56E82"/>
    <w:rsid w:val="00D6111F"/>
    <w:rsid w:val="00D61588"/>
    <w:rsid w:val="00D620F2"/>
    <w:rsid w:val="00D62B98"/>
    <w:rsid w:val="00D62CEE"/>
    <w:rsid w:val="00D6546D"/>
    <w:rsid w:val="00D65D0D"/>
    <w:rsid w:val="00D71294"/>
    <w:rsid w:val="00D721F7"/>
    <w:rsid w:val="00D727D8"/>
    <w:rsid w:val="00D72B4A"/>
    <w:rsid w:val="00D73B08"/>
    <w:rsid w:val="00D74CBB"/>
    <w:rsid w:val="00D7544C"/>
    <w:rsid w:val="00D75E7A"/>
    <w:rsid w:val="00D760D4"/>
    <w:rsid w:val="00D778B1"/>
    <w:rsid w:val="00D8104F"/>
    <w:rsid w:val="00D81EEC"/>
    <w:rsid w:val="00D829CE"/>
    <w:rsid w:val="00D82ECC"/>
    <w:rsid w:val="00D82F01"/>
    <w:rsid w:val="00D839DB"/>
    <w:rsid w:val="00D844CF"/>
    <w:rsid w:val="00D84703"/>
    <w:rsid w:val="00D91FE5"/>
    <w:rsid w:val="00D923C5"/>
    <w:rsid w:val="00D927C3"/>
    <w:rsid w:val="00D9288B"/>
    <w:rsid w:val="00D92FC4"/>
    <w:rsid w:val="00D935F5"/>
    <w:rsid w:val="00D96A88"/>
    <w:rsid w:val="00D96C52"/>
    <w:rsid w:val="00D9750E"/>
    <w:rsid w:val="00DA0534"/>
    <w:rsid w:val="00DA150E"/>
    <w:rsid w:val="00DA43A0"/>
    <w:rsid w:val="00DA45E9"/>
    <w:rsid w:val="00DA4C69"/>
    <w:rsid w:val="00DA517D"/>
    <w:rsid w:val="00DA560D"/>
    <w:rsid w:val="00DA6CCC"/>
    <w:rsid w:val="00DA7CAB"/>
    <w:rsid w:val="00DB0D1E"/>
    <w:rsid w:val="00DB0FF1"/>
    <w:rsid w:val="00DB2BC7"/>
    <w:rsid w:val="00DB312B"/>
    <w:rsid w:val="00DB337C"/>
    <w:rsid w:val="00DB6102"/>
    <w:rsid w:val="00DB6749"/>
    <w:rsid w:val="00DB6C00"/>
    <w:rsid w:val="00DB6D48"/>
    <w:rsid w:val="00DB7D9F"/>
    <w:rsid w:val="00DC12A4"/>
    <w:rsid w:val="00DC1EDB"/>
    <w:rsid w:val="00DC2579"/>
    <w:rsid w:val="00DC2914"/>
    <w:rsid w:val="00DC50C9"/>
    <w:rsid w:val="00DC5A14"/>
    <w:rsid w:val="00DC7815"/>
    <w:rsid w:val="00DD2DDB"/>
    <w:rsid w:val="00DD3781"/>
    <w:rsid w:val="00DD39DF"/>
    <w:rsid w:val="00DD478A"/>
    <w:rsid w:val="00DD493C"/>
    <w:rsid w:val="00DD4B67"/>
    <w:rsid w:val="00DD72E5"/>
    <w:rsid w:val="00DD7E64"/>
    <w:rsid w:val="00DE071D"/>
    <w:rsid w:val="00DE18A6"/>
    <w:rsid w:val="00DE1DDD"/>
    <w:rsid w:val="00DE330B"/>
    <w:rsid w:val="00DE3CFC"/>
    <w:rsid w:val="00DE4091"/>
    <w:rsid w:val="00DE59C3"/>
    <w:rsid w:val="00DE5CCF"/>
    <w:rsid w:val="00DE763A"/>
    <w:rsid w:val="00DE7B53"/>
    <w:rsid w:val="00DF1530"/>
    <w:rsid w:val="00DF2AE1"/>
    <w:rsid w:val="00DF2C5A"/>
    <w:rsid w:val="00DF2C69"/>
    <w:rsid w:val="00DF5352"/>
    <w:rsid w:val="00DF6A02"/>
    <w:rsid w:val="00DF7BB4"/>
    <w:rsid w:val="00DF7F33"/>
    <w:rsid w:val="00E000A5"/>
    <w:rsid w:val="00E01A29"/>
    <w:rsid w:val="00E01EFE"/>
    <w:rsid w:val="00E04BC9"/>
    <w:rsid w:val="00E05491"/>
    <w:rsid w:val="00E06598"/>
    <w:rsid w:val="00E1015E"/>
    <w:rsid w:val="00E11690"/>
    <w:rsid w:val="00E11D17"/>
    <w:rsid w:val="00E128C3"/>
    <w:rsid w:val="00E1368A"/>
    <w:rsid w:val="00E161D2"/>
    <w:rsid w:val="00E169F4"/>
    <w:rsid w:val="00E16F9E"/>
    <w:rsid w:val="00E20061"/>
    <w:rsid w:val="00E20213"/>
    <w:rsid w:val="00E21DFA"/>
    <w:rsid w:val="00E228B8"/>
    <w:rsid w:val="00E30389"/>
    <w:rsid w:val="00E32226"/>
    <w:rsid w:val="00E34636"/>
    <w:rsid w:val="00E37A3D"/>
    <w:rsid w:val="00E37E32"/>
    <w:rsid w:val="00E403EB"/>
    <w:rsid w:val="00E4388B"/>
    <w:rsid w:val="00E438B9"/>
    <w:rsid w:val="00E46200"/>
    <w:rsid w:val="00E4689E"/>
    <w:rsid w:val="00E50B0A"/>
    <w:rsid w:val="00E50C51"/>
    <w:rsid w:val="00E50D43"/>
    <w:rsid w:val="00E513F0"/>
    <w:rsid w:val="00E53B29"/>
    <w:rsid w:val="00E54BFE"/>
    <w:rsid w:val="00E5728C"/>
    <w:rsid w:val="00E60049"/>
    <w:rsid w:val="00E609A2"/>
    <w:rsid w:val="00E60AA3"/>
    <w:rsid w:val="00E61C9B"/>
    <w:rsid w:val="00E61D18"/>
    <w:rsid w:val="00E61EC7"/>
    <w:rsid w:val="00E62252"/>
    <w:rsid w:val="00E63390"/>
    <w:rsid w:val="00E634C2"/>
    <w:rsid w:val="00E63CF3"/>
    <w:rsid w:val="00E642C8"/>
    <w:rsid w:val="00E64A75"/>
    <w:rsid w:val="00E65291"/>
    <w:rsid w:val="00E65408"/>
    <w:rsid w:val="00E66615"/>
    <w:rsid w:val="00E67E9F"/>
    <w:rsid w:val="00E70C54"/>
    <w:rsid w:val="00E70EA2"/>
    <w:rsid w:val="00E715FF"/>
    <w:rsid w:val="00E71D49"/>
    <w:rsid w:val="00E72CEC"/>
    <w:rsid w:val="00E73548"/>
    <w:rsid w:val="00E75157"/>
    <w:rsid w:val="00E75C6A"/>
    <w:rsid w:val="00E76EC2"/>
    <w:rsid w:val="00E8015D"/>
    <w:rsid w:val="00E81496"/>
    <w:rsid w:val="00E82615"/>
    <w:rsid w:val="00E82AC9"/>
    <w:rsid w:val="00E83F65"/>
    <w:rsid w:val="00E846FA"/>
    <w:rsid w:val="00E84BC7"/>
    <w:rsid w:val="00E84DB8"/>
    <w:rsid w:val="00E85BEA"/>
    <w:rsid w:val="00E8697F"/>
    <w:rsid w:val="00E8758C"/>
    <w:rsid w:val="00E90D5D"/>
    <w:rsid w:val="00E91E2D"/>
    <w:rsid w:val="00E92B9A"/>
    <w:rsid w:val="00E94518"/>
    <w:rsid w:val="00E951E4"/>
    <w:rsid w:val="00EA096D"/>
    <w:rsid w:val="00EA1279"/>
    <w:rsid w:val="00EA1457"/>
    <w:rsid w:val="00EA21A8"/>
    <w:rsid w:val="00EA30A6"/>
    <w:rsid w:val="00EA3727"/>
    <w:rsid w:val="00EA4E24"/>
    <w:rsid w:val="00EA67BB"/>
    <w:rsid w:val="00EA69B6"/>
    <w:rsid w:val="00EA6B47"/>
    <w:rsid w:val="00EB1D35"/>
    <w:rsid w:val="00EB32AF"/>
    <w:rsid w:val="00EB48A8"/>
    <w:rsid w:val="00EB5ABB"/>
    <w:rsid w:val="00EB5E79"/>
    <w:rsid w:val="00EC0709"/>
    <w:rsid w:val="00EC261F"/>
    <w:rsid w:val="00EC2AD1"/>
    <w:rsid w:val="00EC30CC"/>
    <w:rsid w:val="00EC4604"/>
    <w:rsid w:val="00EC6737"/>
    <w:rsid w:val="00EC7E71"/>
    <w:rsid w:val="00ED0E9F"/>
    <w:rsid w:val="00ED1E9B"/>
    <w:rsid w:val="00ED21E7"/>
    <w:rsid w:val="00ED3481"/>
    <w:rsid w:val="00ED4438"/>
    <w:rsid w:val="00ED44E7"/>
    <w:rsid w:val="00ED5080"/>
    <w:rsid w:val="00ED646E"/>
    <w:rsid w:val="00ED6899"/>
    <w:rsid w:val="00ED6A18"/>
    <w:rsid w:val="00ED741E"/>
    <w:rsid w:val="00ED7BB8"/>
    <w:rsid w:val="00EE00D2"/>
    <w:rsid w:val="00EE0AB3"/>
    <w:rsid w:val="00EE0E1C"/>
    <w:rsid w:val="00EE1AC4"/>
    <w:rsid w:val="00EE1D38"/>
    <w:rsid w:val="00EE1FC2"/>
    <w:rsid w:val="00EE2311"/>
    <w:rsid w:val="00EE27EF"/>
    <w:rsid w:val="00EE33D7"/>
    <w:rsid w:val="00EE3ACF"/>
    <w:rsid w:val="00EE5ED5"/>
    <w:rsid w:val="00EE6947"/>
    <w:rsid w:val="00EE775F"/>
    <w:rsid w:val="00EF243B"/>
    <w:rsid w:val="00EF2AC9"/>
    <w:rsid w:val="00EF2B68"/>
    <w:rsid w:val="00EF395A"/>
    <w:rsid w:val="00EF422C"/>
    <w:rsid w:val="00EF4338"/>
    <w:rsid w:val="00EF6038"/>
    <w:rsid w:val="00F00E47"/>
    <w:rsid w:val="00F02C09"/>
    <w:rsid w:val="00F05DF1"/>
    <w:rsid w:val="00F07504"/>
    <w:rsid w:val="00F07567"/>
    <w:rsid w:val="00F10354"/>
    <w:rsid w:val="00F12EDB"/>
    <w:rsid w:val="00F156A8"/>
    <w:rsid w:val="00F15DC1"/>
    <w:rsid w:val="00F162E5"/>
    <w:rsid w:val="00F16D7B"/>
    <w:rsid w:val="00F215D2"/>
    <w:rsid w:val="00F223FB"/>
    <w:rsid w:val="00F2262D"/>
    <w:rsid w:val="00F27207"/>
    <w:rsid w:val="00F3188B"/>
    <w:rsid w:val="00F32638"/>
    <w:rsid w:val="00F33F2C"/>
    <w:rsid w:val="00F34054"/>
    <w:rsid w:val="00F346A3"/>
    <w:rsid w:val="00F3512A"/>
    <w:rsid w:val="00F35D3A"/>
    <w:rsid w:val="00F36448"/>
    <w:rsid w:val="00F364DD"/>
    <w:rsid w:val="00F40816"/>
    <w:rsid w:val="00F40B5B"/>
    <w:rsid w:val="00F417CB"/>
    <w:rsid w:val="00F427FC"/>
    <w:rsid w:val="00F42B59"/>
    <w:rsid w:val="00F42DD0"/>
    <w:rsid w:val="00F446E6"/>
    <w:rsid w:val="00F447B5"/>
    <w:rsid w:val="00F449FC"/>
    <w:rsid w:val="00F44D3B"/>
    <w:rsid w:val="00F473A3"/>
    <w:rsid w:val="00F47C97"/>
    <w:rsid w:val="00F50D73"/>
    <w:rsid w:val="00F511FC"/>
    <w:rsid w:val="00F513DD"/>
    <w:rsid w:val="00F53566"/>
    <w:rsid w:val="00F54532"/>
    <w:rsid w:val="00F5458A"/>
    <w:rsid w:val="00F54B0F"/>
    <w:rsid w:val="00F54CE3"/>
    <w:rsid w:val="00F55EBB"/>
    <w:rsid w:val="00F56177"/>
    <w:rsid w:val="00F57114"/>
    <w:rsid w:val="00F625A4"/>
    <w:rsid w:val="00F625B9"/>
    <w:rsid w:val="00F63C70"/>
    <w:rsid w:val="00F657C9"/>
    <w:rsid w:val="00F702DD"/>
    <w:rsid w:val="00F72026"/>
    <w:rsid w:val="00F74317"/>
    <w:rsid w:val="00F767DF"/>
    <w:rsid w:val="00F76C94"/>
    <w:rsid w:val="00F77426"/>
    <w:rsid w:val="00F82218"/>
    <w:rsid w:val="00F84219"/>
    <w:rsid w:val="00F8506F"/>
    <w:rsid w:val="00F866A8"/>
    <w:rsid w:val="00F86C8A"/>
    <w:rsid w:val="00F904CB"/>
    <w:rsid w:val="00F91647"/>
    <w:rsid w:val="00F91893"/>
    <w:rsid w:val="00F93169"/>
    <w:rsid w:val="00F933D9"/>
    <w:rsid w:val="00F959F8"/>
    <w:rsid w:val="00F96030"/>
    <w:rsid w:val="00FA0183"/>
    <w:rsid w:val="00FA14C0"/>
    <w:rsid w:val="00FA1F0E"/>
    <w:rsid w:val="00FA461C"/>
    <w:rsid w:val="00FA5F16"/>
    <w:rsid w:val="00FA6380"/>
    <w:rsid w:val="00FB32C2"/>
    <w:rsid w:val="00FB4D6E"/>
    <w:rsid w:val="00FB5B3F"/>
    <w:rsid w:val="00FB7358"/>
    <w:rsid w:val="00FB7CA3"/>
    <w:rsid w:val="00FC22A6"/>
    <w:rsid w:val="00FC3C97"/>
    <w:rsid w:val="00FC55EB"/>
    <w:rsid w:val="00FC6C45"/>
    <w:rsid w:val="00FC7955"/>
    <w:rsid w:val="00FD09CF"/>
    <w:rsid w:val="00FD1D94"/>
    <w:rsid w:val="00FD23B4"/>
    <w:rsid w:val="00FD2681"/>
    <w:rsid w:val="00FD50CA"/>
    <w:rsid w:val="00FD6A18"/>
    <w:rsid w:val="00FD7351"/>
    <w:rsid w:val="00FE005E"/>
    <w:rsid w:val="00FE1755"/>
    <w:rsid w:val="00FE1B91"/>
    <w:rsid w:val="00FE6B12"/>
    <w:rsid w:val="00FE780D"/>
    <w:rsid w:val="00FE7D09"/>
    <w:rsid w:val="00FF04A1"/>
    <w:rsid w:val="00FF30F9"/>
    <w:rsid w:val="00FF424C"/>
    <w:rsid w:val="00FF4DE0"/>
    <w:rsid w:val="00FF5C64"/>
    <w:rsid w:val="00FF64F2"/>
    <w:rsid w:val="00FF64F3"/>
    <w:rsid w:val="00FF748B"/>
    <w:rsid w:val="00FF7AF1"/>
    <w:rsid w:val="01071F82"/>
    <w:rsid w:val="019D4F21"/>
    <w:rsid w:val="024C374B"/>
    <w:rsid w:val="02854C96"/>
    <w:rsid w:val="033A02C7"/>
    <w:rsid w:val="03763C76"/>
    <w:rsid w:val="041804AA"/>
    <w:rsid w:val="042E318E"/>
    <w:rsid w:val="04576FF1"/>
    <w:rsid w:val="04D7753D"/>
    <w:rsid w:val="05345DFF"/>
    <w:rsid w:val="05E93B5E"/>
    <w:rsid w:val="062E0C1F"/>
    <w:rsid w:val="06C12698"/>
    <w:rsid w:val="06DE36F2"/>
    <w:rsid w:val="08A52A32"/>
    <w:rsid w:val="08A92E36"/>
    <w:rsid w:val="090E7CFA"/>
    <w:rsid w:val="0B1A755E"/>
    <w:rsid w:val="0B8F3D17"/>
    <w:rsid w:val="0D3D7823"/>
    <w:rsid w:val="0D512441"/>
    <w:rsid w:val="0D726BAC"/>
    <w:rsid w:val="0DA1174F"/>
    <w:rsid w:val="0DF84801"/>
    <w:rsid w:val="0E5B00CC"/>
    <w:rsid w:val="101A7E0C"/>
    <w:rsid w:val="101E4577"/>
    <w:rsid w:val="10917742"/>
    <w:rsid w:val="11A3146F"/>
    <w:rsid w:val="11B80172"/>
    <w:rsid w:val="121854F9"/>
    <w:rsid w:val="127F6A3E"/>
    <w:rsid w:val="129A7A1A"/>
    <w:rsid w:val="12E36BE9"/>
    <w:rsid w:val="131C1819"/>
    <w:rsid w:val="1394267C"/>
    <w:rsid w:val="14805C5D"/>
    <w:rsid w:val="14E66A62"/>
    <w:rsid w:val="152F36C0"/>
    <w:rsid w:val="15B73DE2"/>
    <w:rsid w:val="167E54EC"/>
    <w:rsid w:val="16950EE2"/>
    <w:rsid w:val="171C1458"/>
    <w:rsid w:val="179C489E"/>
    <w:rsid w:val="18157622"/>
    <w:rsid w:val="18604963"/>
    <w:rsid w:val="1870366D"/>
    <w:rsid w:val="190838E1"/>
    <w:rsid w:val="19B02585"/>
    <w:rsid w:val="1ACD4087"/>
    <w:rsid w:val="1B1A0D4C"/>
    <w:rsid w:val="1B875697"/>
    <w:rsid w:val="1BA41277"/>
    <w:rsid w:val="1CC264B4"/>
    <w:rsid w:val="1D2F201E"/>
    <w:rsid w:val="1D4E2D2F"/>
    <w:rsid w:val="1DE611A6"/>
    <w:rsid w:val="1E165684"/>
    <w:rsid w:val="1EA65999"/>
    <w:rsid w:val="1F4955F7"/>
    <w:rsid w:val="1F911CC6"/>
    <w:rsid w:val="204465B1"/>
    <w:rsid w:val="205B7EBF"/>
    <w:rsid w:val="206F3071"/>
    <w:rsid w:val="20AC1587"/>
    <w:rsid w:val="216A20D3"/>
    <w:rsid w:val="21D7604A"/>
    <w:rsid w:val="22380616"/>
    <w:rsid w:val="224E4186"/>
    <w:rsid w:val="225E0015"/>
    <w:rsid w:val="22845151"/>
    <w:rsid w:val="22BE3191"/>
    <w:rsid w:val="231C2570"/>
    <w:rsid w:val="23EB6B0B"/>
    <w:rsid w:val="25190A4F"/>
    <w:rsid w:val="25CA3120"/>
    <w:rsid w:val="25D36B65"/>
    <w:rsid w:val="265B5EA9"/>
    <w:rsid w:val="26BA132F"/>
    <w:rsid w:val="26BC219F"/>
    <w:rsid w:val="26BF3E66"/>
    <w:rsid w:val="27454276"/>
    <w:rsid w:val="2763513C"/>
    <w:rsid w:val="27894457"/>
    <w:rsid w:val="27E62D17"/>
    <w:rsid w:val="28024457"/>
    <w:rsid w:val="28212461"/>
    <w:rsid w:val="28D540D6"/>
    <w:rsid w:val="29954FD9"/>
    <w:rsid w:val="2A6334E5"/>
    <w:rsid w:val="2B2E532A"/>
    <w:rsid w:val="2C686A3A"/>
    <w:rsid w:val="2C8013FC"/>
    <w:rsid w:val="2D3052BC"/>
    <w:rsid w:val="2D454268"/>
    <w:rsid w:val="2DF5177C"/>
    <w:rsid w:val="3014145B"/>
    <w:rsid w:val="3023043B"/>
    <w:rsid w:val="306476E3"/>
    <w:rsid w:val="30786A86"/>
    <w:rsid w:val="30BC6B6C"/>
    <w:rsid w:val="310055F3"/>
    <w:rsid w:val="310610B2"/>
    <w:rsid w:val="315F62DB"/>
    <w:rsid w:val="31EF5737"/>
    <w:rsid w:val="331162E3"/>
    <w:rsid w:val="33737318"/>
    <w:rsid w:val="33F41B08"/>
    <w:rsid w:val="34503B1C"/>
    <w:rsid w:val="349A59D6"/>
    <w:rsid w:val="34FA51C2"/>
    <w:rsid w:val="35576037"/>
    <w:rsid w:val="35D75AFB"/>
    <w:rsid w:val="365E6F73"/>
    <w:rsid w:val="369F4670"/>
    <w:rsid w:val="36B632C9"/>
    <w:rsid w:val="36BF6D50"/>
    <w:rsid w:val="36F63224"/>
    <w:rsid w:val="36FC6CAD"/>
    <w:rsid w:val="371C4AB2"/>
    <w:rsid w:val="38605D40"/>
    <w:rsid w:val="38EE364D"/>
    <w:rsid w:val="391A3E04"/>
    <w:rsid w:val="399B643A"/>
    <w:rsid w:val="3A3B5C42"/>
    <w:rsid w:val="3AAF47E9"/>
    <w:rsid w:val="3B0B1244"/>
    <w:rsid w:val="3B2B31AA"/>
    <w:rsid w:val="3B3111CB"/>
    <w:rsid w:val="3BCA15C4"/>
    <w:rsid w:val="3C3745B2"/>
    <w:rsid w:val="3CFE3B29"/>
    <w:rsid w:val="3D2A07F5"/>
    <w:rsid w:val="3D7E04FB"/>
    <w:rsid w:val="3E3D5272"/>
    <w:rsid w:val="3EEB0DD6"/>
    <w:rsid w:val="409B7D77"/>
    <w:rsid w:val="40D818BA"/>
    <w:rsid w:val="40DC2439"/>
    <w:rsid w:val="41222A55"/>
    <w:rsid w:val="414C0A0D"/>
    <w:rsid w:val="43111908"/>
    <w:rsid w:val="43121592"/>
    <w:rsid w:val="43610408"/>
    <w:rsid w:val="437A4E48"/>
    <w:rsid w:val="43EF0FD9"/>
    <w:rsid w:val="44DD5ECD"/>
    <w:rsid w:val="451A02A1"/>
    <w:rsid w:val="45617941"/>
    <w:rsid w:val="45AC05C0"/>
    <w:rsid w:val="45CD1852"/>
    <w:rsid w:val="45D543C2"/>
    <w:rsid w:val="45EB15FA"/>
    <w:rsid w:val="46B20F16"/>
    <w:rsid w:val="472B22F9"/>
    <w:rsid w:val="47D63028"/>
    <w:rsid w:val="48045FCD"/>
    <w:rsid w:val="495771BA"/>
    <w:rsid w:val="49781624"/>
    <w:rsid w:val="49783B29"/>
    <w:rsid w:val="49F60EBF"/>
    <w:rsid w:val="4A17577A"/>
    <w:rsid w:val="4A8E570F"/>
    <w:rsid w:val="4A943159"/>
    <w:rsid w:val="4AD979B2"/>
    <w:rsid w:val="4AE72751"/>
    <w:rsid w:val="4B2C0E2B"/>
    <w:rsid w:val="4B481AD2"/>
    <w:rsid w:val="4B980EDF"/>
    <w:rsid w:val="4BAE00A0"/>
    <w:rsid w:val="4BFB6628"/>
    <w:rsid w:val="4BFD32AD"/>
    <w:rsid w:val="4C163F88"/>
    <w:rsid w:val="4C257FA8"/>
    <w:rsid w:val="4C614B59"/>
    <w:rsid w:val="4D7A6255"/>
    <w:rsid w:val="4D8D5913"/>
    <w:rsid w:val="4DB23048"/>
    <w:rsid w:val="4EB55E08"/>
    <w:rsid w:val="50550845"/>
    <w:rsid w:val="50E52C79"/>
    <w:rsid w:val="50EF458D"/>
    <w:rsid w:val="51CE1A2B"/>
    <w:rsid w:val="51CE4828"/>
    <w:rsid w:val="51D03E40"/>
    <w:rsid w:val="51E32A34"/>
    <w:rsid w:val="51EA7F8B"/>
    <w:rsid w:val="52AE0DA8"/>
    <w:rsid w:val="53671E5B"/>
    <w:rsid w:val="53E5226A"/>
    <w:rsid w:val="54335F1F"/>
    <w:rsid w:val="54B21B2F"/>
    <w:rsid w:val="55657999"/>
    <w:rsid w:val="556C0B41"/>
    <w:rsid w:val="55DE239C"/>
    <w:rsid w:val="586B7778"/>
    <w:rsid w:val="596A2F20"/>
    <w:rsid w:val="599E00A5"/>
    <w:rsid w:val="5B523F55"/>
    <w:rsid w:val="5BDF31A7"/>
    <w:rsid w:val="5BF90845"/>
    <w:rsid w:val="5C365375"/>
    <w:rsid w:val="5C554813"/>
    <w:rsid w:val="5C5B5E52"/>
    <w:rsid w:val="5CA06CCF"/>
    <w:rsid w:val="5CEA171B"/>
    <w:rsid w:val="5DA418E2"/>
    <w:rsid w:val="5E4872DB"/>
    <w:rsid w:val="5E7F0624"/>
    <w:rsid w:val="5F554354"/>
    <w:rsid w:val="5F597B68"/>
    <w:rsid w:val="60AA34F6"/>
    <w:rsid w:val="610A720B"/>
    <w:rsid w:val="612516ED"/>
    <w:rsid w:val="61671FE2"/>
    <w:rsid w:val="62257C81"/>
    <w:rsid w:val="62412815"/>
    <w:rsid w:val="635766E2"/>
    <w:rsid w:val="636B78B0"/>
    <w:rsid w:val="637E648D"/>
    <w:rsid w:val="6392191E"/>
    <w:rsid w:val="64500118"/>
    <w:rsid w:val="64B902C6"/>
    <w:rsid w:val="64C378A2"/>
    <w:rsid w:val="658229DC"/>
    <w:rsid w:val="679947C2"/>
    <w:rsid w:val="68B31A12"/>
    <w:rsid w:val="68F17629"/>
    <w:rsid w:val="69781A97"/>
    <w:rsid w:val="69994718"/>
    <w:rsid w:val="69DC6641"/>
    <w:rsid w:val="6A225DA4"/>
    <w:rsid w:val="6A3D3250"/>
    <w:rsid w:val="6A61156E"/>
    <w:rsid w:val="6A954732"/>
    <w:rsid w:val="6ADA606D"/>
    <w:rsid w:val="6BE77875"/>
    <w:rsid w:val="6DD60D51"/>
    <w:rsid w:val="6E042889"/>
    <w:rsid w:val="6E12412C"/>
    <w:rsid w:val="6F0727EF"/>
    <w:rsid w:val="6F37111A"/>
    <w:rsid w:val="7006332D"/>
    <w:rsid w:val="71336501"/>
    <w:rsid w:val="71841C57"/>
    <w:rsid w:val="71A840A7"/>
    <w:rsid w:val="72ED382D"/>
    <w:rsid w:val="73FF6714"/>
    <w:rsid w:val="74D034B4"/>
    <w:rsid w:val="75842526"/>
    <w:rsid w:val="764A05FE"/>
    <w:rsid w:val="76797326"/>
    <w:rsid w:val="76FA5BF2"/>
    <w:rsid w:val="785C113E"/>
    <w:rsid w:val="78B9143C"/>
    <w:rsid w:val="78C40E61"/>
    <w:rsid w:val="78C57636"/>
    <w:rsid w:val="79A720B0"/>
    <w:rsid w:val="79AF4E69"/>
    <w:rsid w:val="79BB32D7"/>
    <w:rsid w:val="7A433193"/>
    <w:rsid w:val="7A58143E"/>
    <w:rsid w:val="7A62345B"/>
    <w:rsid w:val="7A876990"/>
    <w:rsid w:val="7B1D696A"/>
    <w:rsid w:val="7B3423CC"/>
    <w:rsid w:val="7BC146F3"/>
    <w:rsid w:val="7BE561F6"/>
    <w:rsid w:val="7C29592D"/>
    <w:rsid w:val="7C492092"/>
    <w:rsid w:val="7C51478C"/>
    <w:rsid w:val="7CE0109D"/>
    <w:rsid w:val="7CFD362B"/>
    <w:rsid w:val="7D5012E6"/>
    <w:rsid w:val="7D764A86"/>
    <w:rsid w:val="7D934717"/>
    <w:rsid w:val="7E3C6F29"/>
    <w:rsid w:val="7EB60941"/>
    <w:rsid w:val="7F3E563C"/>
    <w:rsid w:val="7FF53A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qFormat="1" w:unhideWhenUsed="0"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9"/>
    <w:qFormat/>
    <w:uiPriority w:val="99"/>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6"/>
    <w:link w:val="50"/>
    <w:qFormat/>
    <w:uiPriority w:val="99"/>
    <w:pPr>
      <w:keepNext/>
      <w:keepLines/>
      <w:autoSpaceDE w:val="0"/>
      <w:autoSpaceDN w:val="0"/>
      <w:adjustRightInd w:val="0"/>
      <w:spacing w:before="120" w:after="120" w:line="416" w:lineRule="atLeast"/>
      <w:outlineLvl w:val="2"/>
    </w:pPr>
    <w:rPr>
      <w:rFonts w:ascii="黑体" w:eastAsia="黑体"/>
      <w:kern w:val="0"/>
      <w:sz w:val="20"/>
      <w:szCs w:val="20"/>
    </w:rPr>
  </w:style>
  <w:style w:type="paragraph" w:styleId="7">
    <w:name w:val="heading 4"/>
    <w:basedOn w:val="1"/>
    <w:next w:val="1"/>
    <w:link w:val="52"/>
    <w:qFormat/>
    <w:uiPriority w:val="99"/>
    <w:pPr>
      <w:keepNext/>
      <w:outlineLvl w:val="3"/>
    </w:pPr>
    <w:rPr>
      <w:kern w:val="0"/>
      <w:sz w:val="20"/>
      <w:szCs w:val="20"/>
    </w:rPr>
  </w:style>
  <w:style w:type="paragraph" w:styleId="8">
    <w:name w:val="heading 5"/>
    <w:basedOn w:val="1"/>
    <w:next w:val="1"/>
    <w:link w:val="53"/>
    <w:qFormat/>
    <w:uiPriority w:val="99"/>
    <w:pPr>
      <w:keepNext/>
      <w:keepLines/>
      <w:spacing w:before="280" w:after="290" w:line="376" w:lineRule="auto"/>
      <w:outlineLvl w:val="4"/>
    </w:pPr>
    <w:rPr>
      <w:b/>
      <w:bCs/>
      <w:kern w:val="0"/>
      <w:sz w:val="28"/>
      <w:szCs w:val="28"/>
    </w:rPr>
  </w:style>
  <w:style w:type="paragraph" w:styleId="9">
    <w:name w:val="heading 6"/>
    <w:basedOn w:val="1"/>
    <w:next w:val="1"/>
    <w:link w:val="54"/>
    <w:qFormat/>
    <w:uiPriority w:val="99"/>
    <w:pPr>
      <w:keepNext/>
      <w:keepLines/>
      <w:spacing w:before="240" w:after="64" w:line="320" w:lineRule="auto"/>
      <w:outlineLvl w:val="5"/>
    </w:pPr>
    <w:rPr>
      <w:rFonts w:ascii="Arial" w:hAnsi="Arial" w:eastAsia="黑体"/>
      <w:b/>
      <w:bCs/>
      <w:kern w:val="0"/>
      <w:sz w:val="24"/>
    </w:rPr>
  </w:style>
  <w:style w:type="paragraph" w:styleId="10">
    <w:name w:val="heading 7"/>
    <w:basedOn w:val="1"/>
    <w:next w:val="1"/>
    <w:link w:val="55"/>
    <w:qFormat/>
    <w:uiPriority w:val="99"/>
    <w:pPr>
      <w:keepNext/>
      <w:keepLines/>
      <w:spacing w:before="240" w:after="64" w:line="320" w:lineRule="auto"/>
      <w:outlineLvl w:val="6"/>
    </w:pPr>
    <w:rPr>
      <w:b/>
      <w:bCs/>
      <w:kern w:val="0"/>
      <w:sz w:val="24"/>
    </w:rPr>
  </w:style>
  <w:style w:type="paragraph" w:styleId="11">
    <w:name w:val="heading 8"/>
    <w:basedOn w:val="1"/>
    <w:next w:val="1"/>
    <w:link w:val="56"/>
    <w:qFormat/>
    <w:uiPriority w:val="99"/>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7"/>
    <w:qFormat/>
    <w:uiPriority w:val="99"/>
    <w:pPr>
      <w:keepNext/>
      <w:keepLines/>
      <w:spacing w:before="240" w:after="64" w:line="320" w:lineRule="auto"/>
      <w:outlineLvl w:val="8"/>
    </w:pPr>
    <w:rPr>
      <w:rFonts w:ascii="Arial" w:hAnsi="Arial" w:eastAsia="黑体"/>
      <w:kern w:val="0"/>
      <w:szCs w:val="21"/>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宋体" w:hAnsi="宋体" w:cs="宋体"/>
    </w:rPr>
  </w:style>
  <w:style w:type="paragraph" w:styleId="6">
    <w:name w:val="Normal Indent"/>
    <w:basedOn w:val="1"/>
    <w:link w:val="5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List 3"/>
    <w:basedOn w:val="1"/>
    <w:semiHidden/>
    <w:qFormat/>
    <w:locked/>
    <w:uiPriority w:val="99"/>
    <w:pPr>
      <w:ind w:left="100" w:leftChars="400" w:hanging="200" w:hangingChars="200"/>
      <w:contextualSpacing/>
    </w:pPr>
  </w:style>
  <w:style w:type="paragraph" w:styleId="14">
    <w:name w:val="toc 7"/>
    <w:basedOn w:val="1"/>
    <w:next w:val="1"/>
    <w:qFormat/>
    <w:uiPriority w:val="99"/>
    <w:pPr>
      <w:ind w:left="2520" w:leftChars="1200"/>
    </w:pPr>
    <w:rPr>
      <w:rFonts w:ascii="Calibri" w:hAnsi="Calibri"/>
      <w:szCs w:val="22"/>
    </w:rPr>
  </w:style>
  <w:style w:type="paragraph" w:styleId="15">
    <w:name w:val="Document Map"/>
    <w:basedOn w:val="1"/>
    <w:link w:val="58"/>
    <w:semiHidden/>
    <w:qFormat/>
    <w:uiPriority w:val="99"/>
    <w:rPr>
      <w:rFonts w:ascii="宋体"/>
      <w:kern w:val="0"/>
      <w:sz w:val="18"/>
      <w:szCs w:val="18"/>
    </w:rPr>
  </w:style>
  <w:style w:type="paragraph" w:styleId="16">
    <w:name w:val="annotation text"/>
    <w:basedOn w:val="1"/>
    <w:link w:val="59"/>
    <w:qFormat/>
    <w:uiPriority w:val="99"/>
    <w:pPr>
      <w:jc w:val="left"/>
    </w:pPr>
    <w:rPr>
      <w:kern w:val="0"/>
      <w:sz w:val="24"/>
    </w:rPr>
  </w:style>
  <w:style w:type="paragraph" w:styleId="17">
    <w:name w:val="Body Text"/>
    <w:basedOn w:val="1"/>
    <w:link w:val="60"/>
    <w:qFormat/>
    <w:uiPriority w:val="99"/>
    <w:rPr>
      <w:kern w:val="0"/>
      <w:sz w:val="20"/>
      <w:szCs w:val="20"/>
    </w:rPr>
  </w:style>
  <w:style w:type="paragraph" w:styleId="18">
    <w:name w:val="Body Text Indent"/>
    <w:basedOn w:val="1"/>
    <w:link w:val="61"/>
    <w:qFormat/>
    <w:uiPriority w:val="99"/>
    <w:pPr>
      <w:autoSpaceDE w:val="0"/>
      <w:autoSpaceDN w:val="0"/>
      <w:adjustRightInd w:val="0"/>
      <w:spacing w:after="120" w:line="360" w:lineRule="atLeast"/>
      <w:ind w:left="900"/>
    </w:pPr>
    <w:rPr>
      <w:rFonts w:ascii="楷体_GB2312" w:eastAsia="楷体_GB2312"/>
      <w:kern w:val="0"/>
      <w:sz w:val="20"/>
      <w:szCs w:val="20"/>
    </w:rPr>
  </w:style>
  <w:style w:type="paragraph" w:styleId="19">
    <w:name w:val="List 2"/>
    <w:basedOn w:val="1"/>
    <w:qFormat/>
    <w:uiPriority w:val="99"/>
    <w:pPr>
      <w:ind w:left="100" w:leftChars="200" w:hanging="200" w:hangingChars="200"/>
    </w:pPr>
  </w:style>
  <w:style w:type="paragraph" w:styleId="20">
    <w:name w:val="toc 5"/>
    <w:basedOn w:val="1"/>
    <w:next w:val="1"/>
    <w:qFormat/>
    <w:uiPriority w:val="99"/>
    <w:pPr>
      <w:ind w:left="1680" w:leftChars="800"/>
    </w:pPr>
    <w:rPr>
      <w:rFonts w:ascii="Calibri" w:hAnsi="Calibri"/>
      <w:szCs w:val="22"/>
    </w:rPr>
  </w:style>
  <w:style w:type="paragraph" w:styleId="21">
    <w:name w:val="toc 3"/>
    <w:basedOn w:val="1"/>
    <w:next w:val="1"/>
    <w:qFormat/>
    <w:uiPriority w:val="99"/>
    <w:pPr>
      <w:widowControl/>
      <w:snapToGrid w:val="0"/>
      <w:spacing w:line="440" w:lineRule="exact"/>
      <w:ind w:left="442"/>
      <w:jc w:val="left"/>
    </w:pPr>
    <w:rPr>
      <w:rFonts w:ascii="Calibri" w:hAnsi="Calibri"/>
      <w:kern w:val="0"/>
      <w:szCs w:val="22"/>
    </w:rPr>
  </w:style>
  <w:style w:type="paragraph" w:styleId="22">
    <w:name w:val="Plain Text"/>
    <w:basedOn w:val="1"/>
    <w:link w:val="62"/>
    <w:qFormat/>
    <w:uiPriority w:val="99"/>
    <w:rPr>
      <w:rFonts w:ascii="宋体" w:hAnsi="Courier New"/>
      <w:kern w:val="0"/>
      <w:sz w:val="20"/>
      <w:szCs w:val="20"/>
    </w:rPr>
  </w:style>
  <w:style w:type="paragraph" w:styleId="23">
    <w:name w:val="toc 8"/>
    <w:basedOn w:val="1"/>
    <w:next w:val="1"/>
    <w:qFormat/>
    <w:uiPriority w:val="99"/>
    <w:pPr>
      <w:ind w:left="2940" w:leftChars="1400"/>
    </w:pPr>
    <w:rPr>
      <w:rFonts w:ascii="Calibri" w:hAnsi="Calibri"/>
      <w:szCs w:val="22"/>
    </w:rPr>
  </w:style>
  <w:style w:type="paragraph" w:styleId="24">
    <w:name w:val="Date"/>
    <w:basedOn w:val="1"/>
    <w:next w:val="1"/>
    <w:link w:val="63"/>
    <w:qFormat/>
    <w:uiPriority w:val="99"/>
    <w:pPr>
      <w:ind w:left="100" w:leftChars="2500"/>
    </w:pPr>
    <w:rPr>
      <w:kern w:val="0"/>
      <w:sz w:val="20"/>
      <w:szCs w:val="20"/>
    </w:rPr>
  </w:style>
  <w:style w:type="paragraph" w:styleId="25">
    <w:name w:val="Body Text Indent 2"/>
    <w:basedOn w:val="1"/>
    <w:link w:val="64"/>
    <w:qFormat/>
    <w:uiPriority w:val="99"/>
    <w:pPr>
      <w:spacing w:line="480" w:lineRule="auto"/>
      <w:ind w:firstLine="480" w:firstLineChars="200"/>
    </w:pPr>
    <w:rPr>
      <w:rFonts w:ascii="仿宋_GB2312" w:hAnsi="宋体" w:eastAsia="仿宋_GB2312"/>
      <w:kern w:val="0"/>
      <w:sz w:val="24"/>
    </w:rPr>
  </w:style>
  <w:style w:type="paragraph" w:styleId="26">
    <w:name w:val="Balloon Text"/>
    <w:basedOn w:val="1"/>
    <w:link w:val="65"/>
    <w:semiHidden/>
    <w:qFormat/>
    <w:uiPriority w:val="99"/>
    <w:rPr>
      <w:kern w:val="0"/>
      <w:sz w:val="18"/>
      <w:szCs w:val="18"/>
    </w:rPr>
  </w:style>
  <w:style w:type="paragraph" w:styleId="27">
    <w:name w:val="footer"/>
    <w:basedOn w:val="1"/>
    <w:link w:val="66"/>
    <w:qFormat/>
    <w:uiPriority w:val="99"/>
    <w:pPr>
      <w:tabs>
        <w:tab w:val="center" w:pos="4153"/>
        <w:tab w:val="right" w:pos="8306"/>
      </w:tabs>
      <w:snapToGrid w:val="0"/>
      <w:jc w:val="left"/>
    </w:pPr>
    <w:rPr>
      <w:kern w:val="0"/>
      <w:sz w:val="18"/>
      <w:szCs w:val="18"/>
    </w:rPr>
  </w:style>
  <w:style w:type="paragraph" w:styleId="28">
    <w:name w:val="header"/>
    <w:basedOn w:val="1"/>
    <w:link w:val="67"/>
    <w:qFormat/>
    <w:uiPriority w:val="99"/>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qFormat/>
    <w:uiPriority w:val="99"/>
    <w:pPr>
      <w:ind w:left="1260" w:leftChars="600"/>
    </w:pPr>
    <w:rPr>
      <w:rFonts w:ascii="Calibri" w:hAnsi="Calibri"/>
      <w:szCs w:val="22"/>
    </w:rPr>
  </w:style>
  <w:style w:type="paragraph" w:styleId="31">
    <w:name w:val="Subtitle"/>
    <w:basedOn w:val="1"/>
    <w:next w:val="1"/>
    <w:link w:val="68"/>
    <w:qFormat/>
    <w:uiPriority w:val="99"/>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99"/>
    <w:pPr>
      <w:ind w:left="2100" w:leftChars="1000"/>
    </w:pPr>
    <w:rPr>
      <w:rFonts w:ascii="Calibri" w:hAnsi="Calibri"/>
      <w:szCs w:val="22"/>
    </w:rPr>
  </w:style>
  <w:style w:type="paragraph" w:styleId="33">
    <w:name w:val="Body Text Indent 3"/>
    <w:basedOn w:val="1"/>
    <w:link w:val="69"/>
    <w:qFormat/>
    <w:uiPriority w:val="99"/>
    <w:pPr>
      <w:spacing w:after="120" w:line="360" w:lineRule="atLeast"/>
      <w:ind w:firstLine="720" w:firstLineChars="300"/>
    </w:pPr>
    <w:rPr>
      <w:kern w:val="0"/>
      <w:sz w:val="20"/>
      <w:szCs w:val="20"/>
    </w:rPr>
  </w:style>
  <w:style w:type="paragraph" w:styleId="34">
    <w:name w:val="toc 2"/>
    <w:basedOn w:val="1"/>
    <w:next w:val="1"/>
    <w:qFormat/>
    <w:uiPriority w:val="39"/>
    <w:pPr>
      <w:tabs>
        <w:tab w:val="left" w:pos="567"/>
        <w:tab w:val="right" w:leader="dot" w:pos="8505"/>
        <w:tab w:val="right" w:leader="dot" w:pos="9628"/>
      </w:tabs>
      <w:spacing w:line="440" w:lineRule="exact"/>
    </w:pPr>
  </w:style>
  <w:style w:type="paragraph" w:styleId="35">
    <w:name w:val="toc 9"/>
    <w:basedOn w:val="1"/>
    <w:next w:val="1"/>
    <w:qFormat/>
    <w:uiPriority w:val="99"/>
    <w:pPr>
      <w:ind w:left="3360" w:leftChars="1600"/>
    </w:pPr>
    <w:rPr>
      <w:rFonts w:ascii="Calibri" w:hAnsi="Calibri"/>
      <w:szCs w:val="22"/>
    </w:r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7">
    <w:name w:val="Title"/>
    <w:basedOn w:val="1"/>
    <w:next w:val="1"/>
    <w:link w:val="70"/>
    <w:qFormat/>
    <w:uiPriority w:val="99"/>
    <w:pPr>
      <w:spacing w:before="240" w:after="60"/>
      <w:jc w:val="center"/>
      <w:outlineLvl w:val="0"/>
    </w:pPr>
    <w:rPr>
      <w:rFonts w:ascii="Cambria" w:hAnsi="Cambria"/>
      <w:b/>
      <w:bCs/>
      <w:kern w:val="0"/>
      <w:sz w:val="32"/>
      <w:szCs w:val="32"/>
    </w:rPr>
  </w:style>
  <w:style w:type="paragraph" w:styleId="38">
    <w:name w:val="annotation subject"/>
    <w:basedOn w:val="16"/>
    <w:next w:val="16"/>
    <w:link w:val="71"/>
    <w:semiHidden/>
    <w:qFormat/>
    <w:uiPriority w:val="99"/>
    <w:rPr>
      <w:b/>
      <w:bCs/>
      <w:sz w:val="20"/>
      <w:szCs w:val="20"/>
    </w:rPr>
  </w:style>
  <w:style w:type="paragraph" w:styleId="39">
    <w:name w:val="Body Text First Indent 2"/>
    <w:basedOn w:val="18"/>
    <w:link w:val="72"/>
    <w:qFormat/>
    <w:locked/>
    <w:uiPriority w:val="99"/>
    <w:pPr>
      <w:autoSpaceDE/>
      <w:autoSpaceDN/>
      <w:adjustRightInd/>
      <w:spacing w:line="240" w:lineRule="auto"/>
      <w:ind w:left="420" w:leftChars="200" w:firstLine="420" w:firstLineChars="200"/>
    </w:pPr>
    <w:rPr>
      <w:rFonts w:ascii="Times New Roman"/>
      <w:sz w:val="24"/>
      <w:szCs w:val="24"/>
    </w:rPr>
  </w:style>
  <w:style w:type="table" w:styleId="41">
    <w:name w:val="Table Grid"/>
    <w:basedOn w:val="40"/>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qFormat/>
    <w:uiPriority w:val="99"/>
    <w:rPr>
      <w:rFonts w:cs="Times New Roman"/>
    </w:rPr>
  </w:style>
  <w:style w:type="character" w:styleId="44">
    <w:name w:val="FollowedHyperlink"/>
    <w:qFormat/>
    <w:uiPriority w:val="99"/>
    <w:rPr>
      <w:rFonts w:cs="Times New Roman"/>
      <w:color w:val="800080"/>
      <w:u w:val="single"/>
    </w:rPr>
  </w:style>
  <w:style w:type="character" w:styleId="45">
    <w:name w:val="Emphasis"/>
    <w:qFormat/>
    <w:uiPriority w:val="0"/>
    <w:rPr>
      <w:i/>
      <w:iCs/>
    </w:rPr>
  </w:style>
  <w:style w:type="character" w:styleId="46">
    <w:name w:val="Hyperlink"/>
    <w:qFormat/>
    <w:uiPriority w:val="99"/>
    <w:rPr>
      <w:rFonts w:cs="Times New Roman"/>
      <w:color w:val="0000FF"/>
      <w:u w:val="single"/>
    </w:rPr>
  </w:style>
  <w:style w:type="character" w:styleId="47">
    <w:name w:val="annotation reference"/>
    <w:qFormat/>
    <w:uiPriority w:val="99"/>
    <w:rPr>
      <w:rFonts w:cs="Times New Roman"/>
      <w:sz w:val="21"/>
    </w:rPr>
  </w:style>
  <w:style w:type="character" w:customStyle="1" w:styleId="48">
    <w:name w:val="标题 1 字符"/>
    <w:link w:val="3"/>
    <w:qFormat/>
    <w:locked/>
    <w:uiPriority w:val="99"/>
    <w:rPr>
      <w:rFonts w:ascii="Times New Roman" w:hAnsi="Times New Roman" w:eastAsia="宋体" w:cs="Times New Roman"/>
      <w:b/>
      <w:bCs/>
      <w:kern w:val="44"/>
      <w:sz w:val="44"/>
      <w:szCs w:val="44"/>
    </w:rPr>
  </w:style>
  <w:style w:type="character" w:customStyle="1" w:styleId="49">
    <w:name w:val="标题 2 字符"/>
    <w:link w:val="4"/>
    <w:qFormat/>
    <w:locked/>
    <w:uiPriority w:val="99"/>
    <w:rPr>
      <w:rFonts w:ascii="Arial" w:hAnsi="Arial" w:eastAsia="黑体" w:cs="Times New Roman"/>
      <w:b/>
      <w:bCs/>
      <w:sz w:val="32"/>
      <w:szCs w:val="32"/>
    </w:rPr>
  </w:style>
  <w:style w:type="character" w:customStyle="1" w:styleId="50">
    <w:name w:val="标题 3 字符"/>
    <w:link w:val="5"/>
    <w:qFormat/>
    <w:locked/>
    <w:uiPriority w:val="99"/>
    <w:rPr>
      <w:rFonts w:ascii="黑体" w:hAnsi="Times New Roman" w:eastAsia="黑体" w:cs="Times New Roman"/>
      <w:kern w:val="0"/>
      <w:sz w:val="20"/>
      <w:szCs w:val="20"/>
    </w:rPr>
  </w:style>
  <w:style w:type="character" w:customStyle="1" w:styleId="51">
    <w:name w:val="正文缩进 字符"/>
    <w:link w:val="6"/>
    <w:qFormat/>
    <w:locked/>
    <w:uiPriority w:val="99"/>
    <w:rPr>
      <w:rFonts w:ascii="楷体_GB2312" w:hAnsi="Times New Roman" w:eastAsia="楷体_GB2312"/>
      <w:sz w:val="28"/>
    </w:rPr>
  </w:style>
  <w:style w:type="character" w:customStyle="1" w:styleId="52">
    <w:name w:val="标题 4 字符"/>
    <w:link w:val="7"/>
    <w:qFormat/>
    <w:locked/>
    <w:uiPriority w:val="99"/>
    <w:rPr>
      <w:rFonts w:ascii="Times New Roman" w:hAnsi="Times New Roman" w:eastAsia="宋体" w:cs="Times New Roman"/>
      <w:sz w:val="20"/>
      <w:szCs w:val="20"/>
    </w:rPr>
  </w:style>
  <w:style w:type="character" w:customStyle="1" w:styleId="53">
    <w:name w:val="标题 5 字符"/>
    <w:link w:val="8"/>
    <w:qFormat/>
    <w:locked/>
    <w:uiPriority w:val="99"/>
    <w:rPr>
      <w:rFonts w:ascii="Times New Roman" w:hAnsi="Times New Roman" w:eastAsia="宋体" w:cs="Times New Roman"/>
      <w:b/>
      <w:bCs/>
      <w:sz w:val="28"/>
      <w:szCs w:val="28"/>
    </w:rPr>
  </w:style>
  <w:style w:type="character" w:customStyle="1" w:styleId="54">
    <w:name w:val="标题 6 字符"/>
    <w:link w:val="9"/>
    <w:qFormat/>
    <w:locked/>
    <w:uiPriority w:val="99"/>
    <w:rPr>
      <w:rFonts w:ascii="Arial" w:hAnsi="Arial" w:eastAsia="黑体" w:cs="Times New Roman"/>
      <w:b/>
      <w:bCs/>
      <w:sz w:val="24"/>
      <w:szCs w:val="24"/>
    </w:rPr>
  </w:style>
  <w:style w:type="character" w:customStyle="1" w:styleId="55">
    <w:name w:val="标题 7 字符"/>
    <w:link w:val="10"/>
    <w:qFormat/>
    <w:locked/>
    <w:uiPriority w:val="99"/>
    <w:rPr>
      <w:rFonts w:ascii="Times New Roman" w:hAnsi="Times New Roman" w:eastAsia="宋体" w:cs="Times New Roman"/>
      <w:b/>
      <w:bCs/>
      <w:sz w:val="24"/>
      <w:szCs w:val="24"/>
    </w:rPr>
  </w:style>
  <w:style w:type="character" w:customStyle="1" w:styleId="56">
    <w:name w:val="标题 8 字符"/>
    <w:link w:val="11"/>
    <w:qFormat/>
    <w:locked/>
    <w:uiPriority w:val="99"/>
    <w:rPr>
      <w:rFonts w:ascii="Arial" w:hAnsi="Arial" w:eastAsia="黑体" w:cs="Times New Roman"/>
      <w:sz w:val="24"/>
      <w:szCs w:val="24"/>
    </w:rPr>
  </w:style>
  <w:style w:type="character" w:customStyle="1" w:styleId="57">
    <w:name w:val="标题 9 字符"/>
    <w:link w:val="12"/>
    <w:qFormat/>
    <w:locked/>
    <w:uiPriority w:val="99"/>
    <w:rPr>
      <w:rFonts w:ascii="Arial" w:hAnsi="Arial" w:eastAsia="黑体" w:cs="Times New Roman"/>
      <w:sz w:val="21"/>
      <w:szCs w:val="21"/>
    </w:rPr>
  </w:style>
  <w:style w:type="character" w:customStyle="1" w:styleId="58">
    <w:name w:val="文档结构图 字符"/>
    <w:link w:val="15"/>
    <w:semiHidden/>
    <w:qFormat/>
    <w:locked/>
    <w:uiPriority w:val="99"/>
    <w:rPr>
      <w:rFonts w:ascii="宋体" w:hAnsi="Times New Roman" w:eastAsia="宋体" w:cs="Times New Roman"/>
      <w:sz w:val="18"/>
      <w:szCs w:val="18"/>
    </w:rPr>
  </w:style>
  <w:style w:type="character" w:customStyle="1" w:styleId="59">
    <w:name w:val="批注文字 字符"/>
    <w:link w:val="16"/>
    <w:qFormat/>
    <w:locked/>
    <w:uiPriority w:val="99"/>
    <w:rPr>
      <w:rFonts w:ascii="Times New Roman" w:hAnsi="Times New Roman" w:eastAsia="宋体" w:cs="Times New Roman"/>
      <w:sz w:val="24"/>
      <w:szCs w:val="24"/>
    </w:rPr>
  </w:style>
  <w:style w:type="character" w:customStyle="1" w:styleId="60">
    <w:name w:val="正文文本 字符"/>
    <w:link w:val="17"/>
    <w:qFormat/>
    <w:locked/>
    <w:uiPriority w:val="99"/>
    <w:rPr>
      <w:rFonts w:ascii="Times New Roman" w:hAnsi="Times New Roman" w:eastAsia="宋体" w:cs="Times New Roman"/>
      <w:sz w:val="20"/>
      <w:szCs w:val="20"/>
    </w:rPr>
  </w:style>
  <w:style w:type="character" w:customStyle="1" w:styleId="61">
    <w:name w:val="正文文本缩进 字符"/>
    <w:link w:val="18"/>
    <w:qFormat/>
    <w:locked/>
    <w:uiPriority w:val="99"/>
    <w:rPr>
      <w:rFonts w:ascii="楷体_GB2312" w:hAnsi="Times New Roman" w:eastAsia="楷体_GB2312" w:cs="Times New Roman"/>
      <w:kern w:val="0"/>
      <w:sz w:val="20"/>
      <w:szCs w:val="20"/>
    </w:rPr>
  </w:style>
  <w:style w:type="character" w:customStyle="1" w:styleId="62">
    <w:name w:val="纯文本 字符"/>
    <w:link w:val="22"/>
    <w:qFormat/>
    <w:locked/>
    <w:uiPriority w:val="99"/>
    <w:rPr>
      <w:rFonts w:ascii="宋体" w:hAnsi="Courier New" w:eastAsia="宋体" w:cs="Times New Roman"/>
      <w:sz w:val="20"/>
      <w:szCs w:val="20"/>
    </w:rPr>
  </w:style>
  <w:style w:type="character" w:customStyle="1" w:styleId="63">
    <w:name w:val="日期 字符"/>
    <w:link w:val="24"/>
    <w:qFormat/>
    <w:locked/>
    <w:uiPriority w:val="99"/>
    <w:rPr>
      <w:rFonts w:ascii="Times New Roman" w:hAnsi="Times New Roman" w:eastAsia="宋体" w:cs="Times New Roman"/>
      <w:sz w:val="20"/>
      <w:szCs w:val="20"/>
    </w:rPr>
  </w:style>
  <w:style w:type="character" w:customStyle="1" w:styleId="64">
    <w:name w:val="正文文本缩进 2 字符"/>
    <w:link w:val="25"/>
    <w:qFormat/>
    <w:locked/>
    <w:uiPriority w:val="99"/>
    <w:rPr>
      <w:rFonts w:ascii="仿宋_GB2312" w:hAnsi="宋体" w:eastAsia="仿宋_GB2312" w:cs="Times New Roman"/>
      <w:sz w:val="24"/>
      <w:szCs w:val="24"/>
    </w:rPr>
  </w:style>
  <w:style w:type="character" w:customStyle="1" w:styleId="65">
    <w:name w:val="批注框文本 字符"/>
    <w:link w:val="26"/>
    <w:semiHidden/>
    <w:qFormat/>
    <w:locked/>
    <w:uiPriority w:val="99"/>
    <w:rPr>
      <w:rFonts w:ascii="Times New Roman" w:hAnsi="Times New Roman" w:eastAsia="宋体" w:cs="Times New Roman"/>
      <w:sz w:val="18"/>
      <w:szCs w:val="18"/>
    </w:rPr>
  </w:style>
  <w:style w:type="character" w:customStyle="1" w:styleId="66">
    <w:name w:val="页脚 字符"/>
    <w:link w:val="27"/>
    <w:qFormat/>
    <w:locked/>
    <w:uiPriority w:val="99"/>
    <w:rPr>
      <w:rFonts w:ascii="Times New Roman" w:hAnsi="Times New Roman" w:eastAsia="宋体" w:cs="Times New Roman"/>
      <w:sz w:val="18"/>
      <w:szCs w:val="18"/>
    </w:rPr>
  </w:style>
  <w:style w:type="character" w:customStyle="1" w:styleId="67">
    <w:name w:val="页眉 字符"/>
    <w:link w:val="28"/>
    <w:qFormat/>
    <w:locked/>
    <w:uiPriority w:val="99"/>
    <w:rPr>
      <w:rFonts w:ascii="Times New Roman" w:hAnsi="Times New Roman" w:eastAsia="宋体" w:cs="Times New Roman"/>
      <w:sz w:val="18"/>
      <w:szCs w:val="18"/>
    </w:rPr>
  </w:style>
  <w:style w:type="character" w:customStyle="1" w:styleId="68">
    <w:name w:val="副标题 字符"/>
    <w:link w:val="31"/>
    <w:qFormat/>
    <w:locked/>
    <w:uiPriority w:val="99"/>
    <w:rPr>
      <w:rFonts w:ascii="Cambria" w:hAnsi="Cambria" w:eastAsia="宋体" w:cs="黑体"/>
      <w:b/>
      <w:bCs/>
      <w:kern w:val="28"/>
      <w:sz w:val="32"/>
      <w:szCs w:val="32"/>
    </w:rPr>
  </w:style>
  <w:style w:type="character" w:customStyle="1" w:styleId="69">
    <w:name w:val="正文文本缩进 3 字符"/>
    <w:link w:val="33"/>
    <w:qFormat/>
    <w:locked/>
    <w:uiPriority w:val="99"/>
    <w:rPr>
      <w:rFonts w:ascii="Times New Roman" w:hAnsi="Times New Roman" w:eastAsia="宋体" w:cs="Times New Roman"/>
      <w:sz w:val="20"/>
      <w:szCs w:val="20"/>
    </w:rPr>
  </w:style>
  <w:style w:type="character" w:customStyle="1" w:styleId="70">
    <w:name w:val="标题 字符"/>
    <w:link w:val="37"/>
    <w:qFormat/>
    <w:locked/>
    <w:uiPriority w:val="99"/>
    <w:rPr>
      <w:rFonts w:ascii="Cambria" w:hAnsi="Cambria" w:eastAsia="宋体" w:cs="Times New Roman"/>
      <w:b/>
      <w:bCs/>
      <w:sz w:val="32"/>
      <w:szCs w:val="32"/>
    </w:rPr>
  </w:style>
  <w:style w:type="character" w:customStyle="1" w:styleId="71">
    <w:name w:val="批注主题 字符"/>
    <w:link w:val="38"/>
    <w:semiHidden/>
    <w:qFormat/>
    <w:locked/>
    <w:uiPriority w:val="99"/>
    <w:rPr>
      <w:rFonts w:ascii="Times New Roman" w:hAnsi="Times New Roman" w:eastAsia="宋体" w:cs="Times New Roman"/>
      <w:b/>
      <w:bCs/>
      <w:sz w:val="20"/>
      <w:szCs w:val="20"/>
    </w:rPr>
  </w:style>
  <w:style w:type="character" w:customStyle="1" w:styleId="72">
    <w:name w:val="正文文本首行缩进 2 字符"/>
    <w:link w:val="39"/>
    <w:semiHidden/>
    <w:qFormat/>
    <w:locked/>
    <w:uiPriority w:val="99"/>
    <w:rPr>
      <w:rFonts w:ascii="Times New Roman" w:hAnsi="Times New Roman" w:eastAsia="楷体_GB2312" w:cs="Times New Roman"/>
      <w:kern w:val="0"/>
      <w:sz w:val="24"/>
      <w:szCs w:val="24"/>
    </w:rPr>
  </w:style>
  <w:style w:type="character" w:customStyle="1" w:styleId="73">
    <w:name w:val="Char Char1"/>
    <w:qFormat/>
    <w:uiPriority w:val="99"/>
    <w:rPr>
      <w:rFonts w:ascii="楷体_GB2312" w:eastAsia="楷体_GB2312"/>
      <w:sz w:val="28"/>
    </w:rPr>
  </w:style>
  <w:style w:type="character" w:customStyle="1" w:styleId="74">
    <w:name w:val="Char Char"/>
    <w:qFormat/>
    <w:uiPriority w:val="99"/>
    <w:rPr>
      <w:rFonts w:ascii="宋体"/>
      <w:kern w:val="2"/>
      <w:sz w:val="18"/>
    </w:rPr>
  </w:style>
  <w:style w:type="character" w:customStyle="1" w:styleId="75">
    <w:name w:val="_Style 74"/>
    <w:qFormat/>
    <w:uiPriority w:val="19"/>
    <w:rPr>
      <w:i/>
      <w:iCs/>
      <w:color w:val="808080"/>
    </w:rPr>
  </w:style>
  <w:style w:type="character" w:customStyle="1" w:styleId="76">
    <w:name w:val="批注文字 Char1"/>
    <w:qFormat/>
    <w:uiPriority w:val="99"/>
    <w:rPr>
      <w:kern w:val="2"/>
      <w:sz w:val="21"/>
    </w:rPr>
  </w:style>
  <w:style w:type="paragraph" w:customStyle="1" w:styleId="77">
    <w:name w:val="bt1bt1"/>
    <w:basedOn w:val="3"/>
    <w:qFormat/>
    <w:uiPriority w:val="99"/>
    <w:pPr>
      <w:spacing w:line="240" w:lineRule="auto"/>
      <w:jc w:val="center"/>
    </w:pPr>
    <w:rPr>
      <w:rFonts w:ascii="黑体" w:eastAsia="黑体"/>
      <w:b w:val="0"/>
      <w:sz w:val="36"/>
      <w:szCs w:val="36"/>
    </w:rPr>
  </w:style>
  <w:style w:type="paragraph" w:customStyle="1" w:styleId="78">
    <w:name w:val="列出段落11"/>
    <w:basedOn w:val="1"/>
    <w:qFormat/>
    <w:uiPriority w:val="99"/>
    <w:pPr>
      <w:ind w:firstLine="420" w:firstLineChars="200"/>
    </w:pPr>
    <w:rPr>
      <w:rFonts w:ascii="Calibri" w:hAnsi="Calibri"/>
      <w:szCs w:val="22"/>
    </w:rPr>
  </w:style>
  <w:style w:type="paragraph" w:customStyle="1" w:styleId="79">
    <w:name w:val="_Style 36"/>
    <w:basedOn w:val="1"/>
    <w:qFormat/>
    <w:uiPriority w:val="99"/>
    <w:pPr>
      <w:ind w:firstLine="420" w:firstLineChars="200"/>
    </w:pPr>
    <w:rPr>
      <w:szCs w:val="20"/>
    </w:rPr>
  </w:style>
  <w:style w:type="paragraph" w:customStyle="1" w:styleId="80">
    <w:name w:val="样式 标题 3 + (中文) 黑体 小四 非加粗 段前: 7.8 磅 段后: 0 磅 行距: 固定值 20 磅"/>
    <w:basedOn w:val="5"/>
    <w:qFormat/>
    <w:uiPriority w:val="99"/>
    <w:pPr>
      <w:autoSpaceDE/>
      <w:autoSpaceDN/>
      <w:adjustRightInd/>
      <w:spacing w:before="0" w:after="0" w:line="400" w:lineRule="exact"/>
    </w:pPr>
    <w:rPr>
      <w:rFonts w:ascii="Times New Roman" w:cs="宋体"/>
      <w:kern w:val="2"/>
      <w:sz w:val="24"/>
    </w:rPr>
  </w:style>
  <w:style w:type="paragraph" w:customStyle="1" w:styleId="81">
    <w:name w:val="（缩进）正文"/>
    <w:basedOn w:val="1"/>
    <w:qFormat/>
    <w:uiPriority w:val="0"/>
    <w:pPr>
      <w:ind w:firstLine="480" w:firstLineChars="200"/>
    </w:pPr>
    <w:rPr>
      <w:rFonts w:ascii="Calibri" w:hAnsi="Calibri"/>
      <w:sz w:val="24"/>
      <w:szCs w:val="21"/>
    </w:rPr>
  </w:style>
  <w:style w:type="paragraph" w:customStyle="1" w:styleId="82">
    <w:name w:val="Char1"/>
    <w:basedOn w:val="15"/>
    <w:qFormat/>
    <w:uiPriority w:val="99"/>
    <w:pPr>
      <w:shd w:val="clear" w:color="auto" w:fill="000080"/>
      <w:spacing w:line="360" w:lineRule="auto"/>
    </w:pPr>
    <w:rPr>
      <w:rFonts w:ascii="Tahoma" w:hAnsi="Tahoma"/>
      <w:sz w:val="24"/>
      <w:szCs w:val="24"/>
    </w:rPr>
  </w:style>
  <w:style w:type="paragraph" w:styleId="83">
    <w:name w:val="List Paragraph"/>
    <w:basedOn w:val="1"/>
    <w:qFormat/>
    <w:uiPriority w:val="99"/>
    <w:pPr>
      <w:ind w:firstLine="420" w:firstLineChars="200"/>
    </w:pPr>
  </w:style>
  <w:style w:type="paragraph" w:customStyle="1" w:styleId="84">
    <w:name w:val="节"/>
    <w:basedOn w:val="4"/>
    <w:qFormat/>
    <w:uiPriority w:val="99"/>
    <w:pPr>
      <w:numPr>
        <w:ilvl w:val="1"/>
        <w:numId w:val="1"/>
      </w:numPr>
      <w:tabs>
        <w:tab w:val="left" w:pos="432"/>
      </w:tabs>
      <w:spacing w:line="240" w:lineRule="auto"/>
    </w:pPr>
    <w:rPr>
      <w:rFonts w:ascii="黑体"/>
      <w:b w:val="0"/>
      <w:sz w:val="28"/>
      <w:szCs w:val="28"/>
    </w:rPr>
  </w:style>
  <w:style w:type="paragraph" w:customStyle="1" w:styleId="85">
    <w:name w:val="_Style 84"/>
    <w:qFormat/>
    <w:uiPriority w:val="99"/>
    <w:rPr>
      <w:rFonts w:ascii="Times New Roman" w:hAnsi="Times New Roman" w:eastAsia="宋体" w:cs="Times New Roman"/>
      <w:kern w:val="2"/>
      <w:sz w:val="21"/>
      <w:szCs w:val="24"/>
      <w:lang w:val="en-US" w:eastAsia="zh-CN" w:bidi="ar-SA"/>
    </w:rPr>
  </w:style>
  <w:style w:type="paragraph" w:customStyle="1" w:styleId="86">
    <w:name w:val="WPSOffice手动目录 3"/>
    <w:qFormat/>
    <w:uiPriority w:val="0"/>
    <w:pPr>
      <w:ind w:leftChars="400"/>
    </w:pPr>
    <w:rPr>
      <w:rFonts w:ascii="Times New Roman" w:hAnsi="Times New Roman" w:eastAsia="宋体" w:cs="Times New Roman"/>
      <w:lang w:val="en-US" w:eastAsia="zh-CN" w:bidi="ar-SA"/>
    </w:rPr>
  </w:style>
  <w:style w:type="paragraph" w:customStyle="1" w:styleId="87">
    <w:name w:val="Char Char Char Char Char Char Char Char Char Char Char Char Char"/>
    <w:basedOn w:val="15"/>
    <w:qFormat/>
    <w:uiPriority w:val="99"/>
    <w:pPr>
      <w:shd w:val="clear" w:color="auto" w:fill="000080"/>
    </w:pPr>
    <w:rPr>
      <w:rFonts w:ascii="Tahoma" w:hAnsi="Tahoma"/>
      <w:sz w:val="24"/>
      <w:szCs w:val="24"/>
    </w:rPr>
  </w:style>
  <w:style w:type="paragraph" w:customStyle="1" w:styleId="88">
    <w:name w:val="_Style 87"/>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89">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0">
    <w:name w:val="新定义正文"/>
    <w:basedOn w:val="1"/>
    <w:qFormat/>
    <w:uiPriority w:val="99"/>
    <w:pPr>
      <w:widowControl/>
    </w:pPr>
    <w:rPr>
      <w:color w:val="000000"/>
      <w:szCs w:val="21"/>
    </w:rPr>
  </w:style>
  <w:style w:type="paragraph" w:customStyle="1" w:styleId="91">
    <w:name w:val="TOC 标题2"/>
    <w:basedOn w:val="3"/>
    <w:next w:val="1"/>
    <w:qFormat/>
    <w:uiPriority w:val="99"/>
    <w:pPr>
      <w:widowControl/>
      <w:spacing w:before="480" w:after="0" w:line="276" w:lineRule="auto"/>
      <w:jc w:val="left"/>
      <w:outlineLvl w:val="9"/>
    </w:pPr>
    <w:rPr>
      <w:rFonts w:ascii="Cambria" w:hAnsi="Cambria" w:cs="黑体"/>
      <w:color w:val="365F90"/>
      <w:kern w:val="0"/>
      <w:sz w:val="28"/>
      <w:szCs w:val="28"/>
    </w:rPr>
  </w:style>
  <w:style w:type="paragraph" w:customStyle="1" w:styleId="92">
    <w:name w:val="WPSOffice手动目录 1"/>
    <w:qFormat/>
    <w:uiPriority w:val="0"/>
    <w:rPr>
      <w:rFonts w:ascii="Times New Roman" w:hAnsi="Times New Roman" w:eastAsia="宋体" w:cs="Times New Roman"/>
      <w:lang w:val="en-US" w:eastAsia="zh-CN" w:bidi="ar-SA"/>
    </w:rPr>
  </w:style>
  <w:style w:type="paragraph" w:customStyle="1" w:styleId="93">
    <w:name w:val="列出段落1"/>
    <w:basedOn w:val="1"/>
    <w:qFormat/>
    <w:uiPriority w:val="99"/>
    <w:pPr>
      <w:ind w:firstLine="420" w:firstLineChars="200"/>
    </w:pPr>
    <w:rPr>
      <w:szCs w:val="20"/>
    </w:rPr>
  </w:style>
  <w:style w:type="paragraph" w:customStyle="1" w:styleId="94">
    <w:name w:val="修订1"/>
    <w:qFormat/>
    <w:uiPriority w:val="99"/>
    <w:rPr>
      <w:rFonts w:ascii="Times New Roman" w:hAnsi="Times New Roman" w:eastAsia="宋体" w:cs="Times New Roman"/>
      <w:kern w:val="2"/>
      <w:sz w:val="21"/>
      <w:szCs w:val="24"/>
      <w:lang w:val="en-US" w:eastAsia="zh-CN" w:bidi="ar-SA"/>
    </w:rPr>
  </w:style>
  <w:style w:type="paragraph" w:customStyle="1" w:styleId="9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7">
    <w:name w:val="WPSOffice手动目录 2"/>
    <w:qFormat/>
    <w:uiPriority w:val="0"/>
    <w:pPr>
      <w:ind w:leftChars="200"/>
    </w:pPr>
    <w:rPr>
      <w:rFonts w:ascii="Times New Roman" w:hAnsi="Times New Roman" w:eastAsia="宋体" w:cs="Times New Roman"/>
      <w:lang w:val="en-US" w:eastAsia="zh-CN" w:bidi="ar-SA"/>
    </w:rPr>
  </w:style>
  <w:style w:type="paragraph" w:customStyle="1" w:styleId="98">
    <w:name w:val="p0"/>
    <w:basedOn w:val="1"/>
    <w:qFormat/>
    <w:uiPriority w:val="0"/>
    <w:pPr>
      <w:widowControl/>
    </w:pPr>
    <w:rPr>
      <w:kern w:val="0"/>
      <w:szCs w:val="21"/>
    </w:rPr>
  </w:style>
  <w:style w:type="paragraph" w:customStyle="1" w:styleId="99">
    <w:name w:val="style9"/>
    <w:basedOn w:val="1"/>
    <w:qFormat/>
    <w:uiPriority w:val="0"/>
    <w:pPr>
      <w:widowControl/>
      <w:spacing w:before="100" w:beforeAutospacing="1" w:after="100" w:afterAutospacing="1" w:line="360" w:lineRule="atLeast"/>
      <w:jc w:val="left"/>
    </w:pPr>
    <w:rPr>
      <w:rFonts w:hint="eastAsia" w:ascii="宋体" w:hAnsi="宋体"/>
      <w:color w:val="000000"/>
      <w:spacing w:val="15"/>
      <w:kern w:val="0"/>
      <w:sz w:val="24"/>
    </w:rPr>
  </w:style>
  <w:style w:type="character" w:customStyle="1" w:styleId="100">
    <w:name w:val="font31"/>
    <w:qFormat/>
    <w:uiPriority w:val="0"/>
    <w:rPr>
      <w:rFonts w:hint="eastAsia" w:ascii="宋体" w:hAnsi="宋体" w:eastAsia="宋体" w:cs="宋体"/>
      <w:color w:val="000000"/>
      <w:sz w:val="18"/>
      <w:szCs w:val="18"/>
      <w:u w:val="none"/>
    </w:rPr>
  </w:style>
  <w:style w:type="character" w:customStyle="1" w:styleId="101">
    <w:name w:val="font21"/>
    <w:qFormat/>
    <w:uiPriority w:val="0"/>
    <w:rPr>
      <w:rFonts w:hint="eastAsia" w:ascii="宋体" w:hAnsi="宋体" w:eastAsia="宋体" w:cs="宋体"/>
      <w:color w:val="000000"/>
      <w:sz w:val="21"/>
      <w:szCs w:val="21"/>
      <w:u w:val="none"/>
    </w:rPr>
  </w:style>
  <w:style w:type="paragraph" w:customStyle="1" w:styleId="102">
    <w:name w:val="默认"/>
    <w:qFormat/>
    <w:uiPriority w:val="0"/>
    <w:pPr>
      <w:framePr w:wrap="around" w:vAnchor="margin" w:hAnchor="text" w:y="1"/>
    </w:pPr>
    <w:rPr>
      <w:rFonts w:hint="eastAsia" w:ascii="Arial Unicode MS" w:hAnsi="Arial Unicode MS" w:eastAsia="Helvetica"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2911</Words>
  <Characters>16598</Characters>
  <Lines>138</Lines>
  <Paragraphs>38</Paragraphs>
  <TotalTime>7</TotalTime>
  <ScaleCrop>false</ScaleCrop>
  <LinksUpToDate>false</LinksUpToDate>
  <CharactersWithSpaces>19471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2020-04-01T01:40:00Z</dcterms:created>
  <dc:creator>MIIT</dc:creator>
  <cp:lastModifiedBy>大黄与四宝</cp:lastModifiedBy>
  <cp:lastPrinted>2019-08-09T03:14:00Z</cp:lastPrinted>
  <dcterms:modified xsi:type="dcterms:W3CDTF">2021-11-30T02:41:19Z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2663EBAD8EE8420BB494D06341B7B87F</vt:lpwstr>
  </property>
</Properties>
</file>