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宋体"/>
          <w:b/>
          <w:kern w:val="0"/>
          <w:sz w:val="10"/>
          <w:szCs w:val="10"/>
        </w:rPr>
      </w:pPr>
      <w:r>
        <w:rPr>
          <w:rFonts w:hint="eastAsia" w:ascii="宋体" w:hAnsi="宋体" w:eastAsia="宋体"/>
          <w:b/>
          <w:sz w:val="44"/>
        </w:rPr>
        <w:drawing>
          <wp:inline distT="0" distB="0" distL="114300" distR="114300">
            <wp:extent cx="2863215" cy="537845"/>
            <wp:effectExtent l="0" t="0" r="0" b="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6"/>
                    <a:srcRect l="21262" t="5313"/>
                    <a:stretch>
                      <a:fillRect/>
                    </a:stretch>
                  </pic:blipFill>
                  <pic:spPr>
                    <a:xfrm>
                      <a:off x="0" y="0"/>
                      <a:ext cx="2863215" cy="537845"/>
                    </a:xfrm>
                    <a:prstGeom prst="rect">
                      <a:avLst/>
                    </a:prstGeom>
                    <a:noFill/>
                    <a:ln>
                      <a:noFill/>
                    </a:ln>
                  </pic:spPr>
                </pic:pic>
              </a:graphicData>
            </a:graphic>
          </wp:inline>
        </w:drawing>
      </w:r>
    </w:p>
    <w:p>
      <w:pPr>
        <w:spacing w:line="360" w:lineRule="auto"/>
        <w:ind w:left="1130" w:leftChars="300" w:hanging="500" w:hangingChars="500"/>
        <w:jc w:val="center"/>
        <w:rPr>
          <w:rFonts w:ascii="黑体" w:hAnsi="黑体" w:eastAsia="黑体" w:cs="宋体"/>
          <w:b/>
          <w:kern w:val="0"/>
          <w:sz w:val="10"/>
          <w:szCs w:val="10"/>
        </w:rPr>
      </w:pPr>
    </w:p>
    <w:p>
      <w:pPr>
        <w:pStyle w:val="2"/>
        <w:rPr>
          <w:rFonts w:hint="eastAsia"/>
        </w:rPr>
      </w:pPr>
    </w:p>
    <w:p>
      <w:pPr>
        <w:spacing w:after="120" w:line="360" w:lineRule="atLeast"/>
        <w:jc w:val="center"/>
        <w:rPr>
          <w:rStyle w:val="46"/>
          <w:kern w:val="0"/>
        </w:rPr>
      </w:pPr>
      <w:bookmarkStart w:id="0" w:name="_Hlk83391726"/>
      <w:r>
        <w:rPr>
          <w:rFonts w:hint="eastAsia" w:ascii="宋体" w:hAnsi="宋体" w:cs="Arial"/>
          <w:b/>
          <w:sz w:val="50"/>
          <w:szCs w:val="50"/>
        </w:rPr>
        <w:t>S103济枣线</w:t>
      </w:r>
      <w:bookmarkStart w:id="1" w:name="_Hlk83391777"/>
      <w:r>
        <w:rPr>
          <w:rFonts w:hint="eastAsia" w:ascii="宋体" w:hAnsi="宋体" w:cs="Arial"/>
          <w:b/>
          <w:sz w:val="50"/>
          <w:szCs w:val="50"/>
        </w:rPr>
        <w:t>山亭区凫城</w:t>
      </w:r>
      <w:bookmarkEnd w:id="1"/>
      <w:r>
        <w:rPr>
          <w:rFonts w:hint="eastAsia" w:ascii="宋体" w:hAnsi="宋体" w:cs="Arial"/>
          <w:b/>
          <w:sz w:val="50"/>
          <w:szCs w:val="50"/>
        </w:rPr>
        <w:t>至市中区曾店段改建工程</w:t>
      </w:r>
      <w:bookmarkEnd w:id="0"/>
      <w:r>
        <w:rPr>
          <w:rFonts w:hint="eastAsia" w:ascii="宋体" w:hAnsi="宋体" w:cs="Arial"/>
          <w:b/>
          <w:color w:val="000000"/>
          <w:sz w:val="50"/>
          <w:szCs w:val="50"/>
        </w:rPr>
        <w:t>商品混凝土</w:t>
      </w:r>
      <w:r>
        <w:rPr>
          <w:rFonts w:hint="eastAsia" w:ascii="宋体" w:hAnsi="宋体" w:cs="Arial"/>
          <w:b/>
          <w:sz w:val="50"/>
          <w:szCs w:val="50"/>
        </w:rPr>
        <w:t>采购</w:t>
      </w:r>
    </w:p>
    <w:p>
      <w:pPr>
        <w:spacing w:after="120" w:line="360" w:lineRule="atLeast"/>
        <w:jc w:val="center"/>
        <w:rPr>
          <w:rFonts w:hint="eastAsia" w:ascii="宋体" w:hAnsi="宋体" w:cs="Arial"/>
          <w:b/>
          <w:sz w:val="50"/>
          <w:szCs w:val="50"/>
        </w:rPr>
      </w:pPr>
    </w:p>
    <w:p>
      <w:pPr>
        <w:spacing w:line="360" w:lineRule="auto"/>
        <w:jc w:val="center"/>
        <w:rPr>
          <w:rFonts w:ascii="黑体" w:hAnsi="黑体" w:eastAsia="黑体" w:cs="宋体"/>
          <w:b/>
          <w:kern w:val="0"/>
          <w:sz w:val="84"/>
          <w:szCs w:val="84"/>
        </w:rPr>
      </w:pPr>
      <w:r>
        <w:rPr>
          <w:rFonts w:hint="eastAsia" w:ascii="黑体" w:hAnsi="黑体" w:eastAsia="黑体" w:cs="宋体"/>
          <w:b/>
          <w:kern w:val="0"/>
          <w:sz w:val="84"/>
          <w:szCs w:val="84"/>
        </w:rPr>
        <w:t>招</w:t>
      </w:r>
      <w:r>
        <w:rPr>
          <w:rFonts w:ascii="黑体" w:hAnsi="黑体" w:eastAsia="黑体" w:cs="宋体"/>
          <w:b/>
          <w:kern w:val="0"/>
          <w:sz w:val="84"/>
          <w:szCs w:val="84"/>
        </w:rPr>
        <w:t xml:space="preserve"> </w:t>
      </w:r>
      <w:r>
        <w:rPr>
          <w:rFonts w:hint="eastAsia" w:ascii="黑体" w:hAnsi="黑体" w:eastAsia="黑体" w:cs="宋体"/>
          <w:b/>
          <w:kern w:val="0"/>
          <w:sz w:val="84"/>
          <w:szCs w:val="84"/>
        </w:rPr>
        <w:t>标</w:t>
      </w:r>
      <w:r>
        <w:rPr>
          <w:rFonts w:ascii="黑体" w:hAnsi="黑体" w:eastAsia="黑体" w:cs="宋体"/>
          <w:b/>
          <w:kern w:val="0"/>
          <w:sz w:val="84"/>
          <w:szCs w:val="84"/>
        </w:rPr>
        <w:t xml:space="preserve"> </w:t>
      </w:r>
      <w:r>
        <w:rPr>
          <w:rFonts w:hint="eastAsia" w:ascii="黑体" w:hAnsi="黑体" w:eastAsia="黑体" w:cs="宋体"/>
          <w:b/>
          <w:kern w:val="0"/>
          <w:sz w:val="84"/>
          <w:szCs w:val="84"/>
        </w:rPr>
        <w:t>文</w:t>
      </w:r>
      <w:r>
        <w:rPr>
          <w:rFonts w:ascii="黑体" w:hAnsi="黑体" w:eastAsia="黑体" w:cs="宋体"/>
          <w:b/>
          <w:kern w:val="0"/>
          <w:sz w:val="84"/>
          <w:szCs w:val="84"/>
        </w:rPr>
        <w:t xml:space="preserve"> </w:t>
      </w:r>
      <w:r>
        <w:rPr>
          <w:rFonts w:hint="eastAsia" w:ascii="黑体" w:hAnsi="黑体" w:eastAsia="黑体" w:cs="宋体"/>
          <w:b/>
          <w:kern w:val="0"/>
          <w:sz w:val="84"/>
          <w:szCs w:val="84"/>
        </w:rPr>
        <w:t>件</w:t>
      </w:r>
    </w:p>
    <w:p>
      <w:pPr>
        <w:spacing w:after="120" w:line="360" w:lineRule="atLeast"/>
        <w:rPr>
          <w:rFonts w:ascii="宋体" w:cs="宋体"/>
          <w:b/>
          <w:sz w:val="32"/>
          <w:szCs w:val="32"/>
        </w:rPr>
      </w:pPr>
    </w:p>
    <w:p>
      <w:pPr>
        <w:spacing w:after="120" w:line="360" w:lineRule="atLeast"/>
        <w:ind w:firstLine="2100" w:firstLineChars="700"/>
        <w:rPr>
          <w:rFonts w:ascii="宋体" w:cs="宋体"/>
          <w:b/>
          <w:sz w:val="32"/>
          <w:szCs w:val="32"/>
        </w:rPr>
      </w:pPr>
      <w:r>
        <w:rPr>
          <w:rFonts w:hint="eastAsia" w:ascii="宋体" w:hAnsi="宋体"/>
          <w:b/>
          <w:sz w:val="30"/>
          <w:szCs w:val="30"/>
        </w:rPr>
        <w:t>招标编号：CGC2021-JS-CL-15</w:t>
      </w: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line="480" w:lineRule="auto"/>
        <w:ind w:firstLine="846" w:firstLineChars="282"/>
        <w:rPr>
          <w:rFonts w:ascii="宋体"/>
          <w:b/>
          <w:sz w:val="30"/>
          <w:szCs w:val="30"/>
        </w:rPr>
      </w:pPr>
      <w:r>
        <w:rPr>
          <w:rFonts w:hint="eastAsia" w:ascii="宋体" w:hAnsi="宋体"/>
          <w:b/>
          <w:sz w:val="30"/>
          <w:szCs w:val="30"/>
        </w:rPr>
        <w:t>招</w:t>
      </w:r>
      <w:r>
        <w:rPr>
          <w:rFonts w:ascii="宋体" w:hAnsi="宋体"/>
          <w:b/>
          <w:sz w:val="30"/>
          <w:szCs w:val="30"/>
        </w:rPr>
        <w:t xml:space="preserve">   </w:t>
      </w:r>
      <w:r>
        <w:rPr>
          <w:rFonts w:hint="eastAsia" w:ascii="宋体" w:hAnsi="宋体"/>
          <w:b/>
          <w:sz w:val="30"/>
          <w:szCs w:val="30"/>
        </w:rPr>
        <w:t>标</w:t>
      </w:r>
      <w:r>
        <w:rPr>
          <w:rFonts w:ascii="宋体" w:hAnsi="宋体"/>
          <w:b/>
          <w:sz w:val="30"/>
          <w:szCs w:val="30"/>
        </w:rPr>
        <w:t xml:space="preserve">   </w:t>
      </w:r>
      <w:r>
        <w:rPr>
          <w:rFonts w:hint="eastAsia" w:ascii="宋体" w:hAnsi="宋体"/>
          <w:b/>
          <w:sz w:val="30"/>
          <w:szCs w:val="30"/>
        </w:rPr>
        <w:t>人：</w:t>
      </w:r>
      <w:r>
        <w:rPr>
          <w:rFonts w:hint="eastAsia" w:ascii="宋体" w:hAnsi="宋体"/>
          <w:b/>
          <w:sz w:val="30"/>
          <w:szCs w:val="30"/>
          <w:u w:val="single"/>
        </w:rPr>
        <w:t>中国地质工程集团有限公司</w:t>
      </w:r>
      <w:r>
        <w:rPr>
          <w:rFonts w:hint="eastAsia" w:ascii="宋体" w:hAnsi="宋体"/>
          <w:b/>
          <w:sz w:val="30"/>
          <w:szCs w:val="30"/>
        </w:rPr>
        <w:t>（盖章）</w:t>
      </w:r>
    </w:p>
    <w:p>
      <w:pPr>
        <w:spacing w:line="480" w:lineRule="auto"/>
        <w:rPr>
          <w:rFonts w:ascii="宋体"/>
          <w:b/>
          <w:sz w:val="30"/>
          <w:szCs w:val="30"/>
        </w:rPr>
      </w:pPr>
    </w:p>
    <w:p>
      <w:pPr>
        <w:spacing w:line="480" w:lineRule="auto"/>
        <w:rPr>
          <w:rFonts w:ascii="宋体"/>
          <w:b/>
          <w:sz w:val="30"/>
          <w:szCs w:val="30"/>
        </w:rPr>
      </w:pPr>
    </w:p>
    <w:p>
      <w:pPr>
        <w:spacing w:after="120" w:line="360" w:lineRule="atLeast"/>
        <w:jc w:val="center"/>
        <w:rPr>
          <w:rFonts w:ascii="宋体" w:cs="宋体"/>
          <w:sz w:val="24"/>
        </w:rPr>
      </w:pPr>
      <w:r>
        <w:rPr>
          <w:rFonts w:hint="eastAsia" w:ascii="宋体" w:hAnsi="宋体"/>
          <w:b/>
          <w:sz w:val="30"/>
          <w:szCs w:val="30"/>
        </w:rPr>
        <w:t>二〇二一年十</w:t>
      </w:r>
      <w:r>
        <w:rPr>
          <w:rFonts w:hint="eastAsia" w:ascii="宋体" w:hAnsi="宋体"/>
          <w:b/>
          <w:sz w:val="30"/>
          <w:szCs w:val="30"/>
          <w:lang w:val="en-US" w:eastAsia="zh-CN"/>
        </w:rPr>
        <w:t>一</w:t>
      </w:r>
      <w:r>
        <w:rPr>
          <w:rFonts w:hint="eastAsia" w:ascii="宋体" w:hAnsi="宋体"/>
          <w:b/>
          <w:sz w:val="30"/>
          <w:szCs w:val="30"/>
        </w:rPr>
        <w:t>月</w:t>
      </w:r>
    </w:p>
    <w:p>
      <w:pPr>
        <w:spacing w:after="120" w:line="360" w:lineRule="atLeast"/>
        <w:jc w:val="center"/>
        <w:rPr>
          <w:rFonts w:hint="eastAsia" w:ascii="宋体" w:hAnsi="宋体" w:cs="宋体"/>
          <w:b/>
          <w:sz w:val="24"/>
        </w:rPr>
      </w:pPr>
    </w:p>
    <w:p>
      <w:pPr>
        <w:spacing w:after="120" w:line="360" w:lineRule="atLeast"/>
        <w:jc w:val="center"/>
        <w:rPr>
          <w:rFonts w:ascii="宋体" w:cs="宋体"/>
          <w:b/>
          <w:sz w:val="24"/>
        </w:rPr>
      </w:pPr>
      <w:bookmarkStart w:id="550" w:name="_GoBack"/>
      <w:bookmarkEnd w:id="550"/>
      <w:r>
        <w:rPr>
          <w:rFonts w:hint="eastAsia" w:ascii="宋体" w:hAnsi="宋体" w:cs="宋体"/>
          <w:b/>
          <w:sz w:val="24"/>
        </w:rPr>
        <w:t>目</w:t>
      </w:r>
      <w:r>
        <w:rPr>
          <w:rFonts w:ascii="宋体" w:hAnsi="宋体" w:cs="宋体"/>
          <w:b/>
          <w:sz w:val="24"/>
        </w:rPr>
        <w:t xml:space="preserve">  </w:t>
      </w:r>
      <w:r>
        <w:rPr>
          <w:rFonts w:hint="eastAsia" w:ascii="宋体" w:hAnsi="宋体" w:cs="宋体"/>
          <w:b/>
          <w:sz w:val="24"/>
        </w:rPr>
        <w:t>录</w:t>
      </w:r>
    </w:p>
    <w:p>
      <w:pPr>
        <w:spacing w:after="120" w:line="360" w:lineRule="atLeast"/>
        <w:jc w:val="center"/>
        <w:rPr>
          <w:rFonts w:ascii="宋体" w:cs="宋体"/>
          <w:b/>
          <w:sz w:val="24"/>
        </w:rPr>
      </w:pP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_Toc17938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_Toc17938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_Toc24186 </w:instrText>
      </w:r>
      <w:r>
        <w:rPr>
          <w:rFonts w:hint="eastAsia" w:ascii="宋体" w:hAnsi="宋体" w:cs="宋体"/>
          <w:sz w:val="24"/>
          <w:szCs w:val="24"/>
        </w:rP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_Toc24186 </w:instrText>
      </w:r>
      <w:r>
        <w:rPr>
          <w:rFonts w:hint="eastAsia" w:ascii="宋体" w:hAnsi="宋体" w:cs="宋体"/>
          <w:sz w:val="24"/>
          <w:szCs w:val="24"/>
        </w:rPr>
        <w:fldChar w:fldCharType="separate"/>
      </w:r>
      <w:r>
        <w:rPr>
          <w:rFonts w:hint="eastAsia" w:ascii="宋体" w:hAnsi="宋体" w:cs="宋体"/>
          <w:sz w:val="24"/>
          <w:szCs w:val="24"/>
        </w:rPr>
        <w:t>- 4 -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_Toc4189 </w:instrText>
      </w:r>
      <w:r>
        <w:rPr>
          <w:rFonts w:hint="eastAsia" w:ascii="宋体" w:hAnsi="宋体" w:cs="宋体"/>
          <w:sz w:val="24"/>
          <w:szCs w:val="24"/>
        </w:rPr>
        <w:fldChar w:fldCharType="separate"/>
      </w:r>
      <w:r>
        <w:rPr>
          <w:rFonts w:hint="eastAsia" w:ascii="宋体" w:hAnsi="宋体" w:cs="宋体"/>
          <w:bCs/>
          <w:sz w:val="24"/>
          <w:szCs w:val="24"/>
        </w:rPr>
        <w:t>投标人须知前附表</w:t>
      </w:r>
      <w:r>
        <w:rPr>
          <w:rFonts w:hint="eastAsia" w:ascii="宋体" w:hAnsi="宋体" w:cs="宋体"/>
          <w:sz w:val="24"/>
          <w:szCs w:val="24"/>
        </w:rPr>
        <w:tab/>
      </w:r>
      <w:bookmarkStart w:id="2" w:name="_Hlt41635670"/>
      <w:bookmarkStart w:id="3" w:name="_Hlt41635669"/>
      <w:r>
        <w:rPr>
          <w:rFonts w:hint="eastAsia" w:ascii="宋体" w:hAnsi="宋体" w:cs="宋体"/>
          <w:sz w:val="24"/>
          <w:szCs w:val="24"/>
        </w:rPr>
        <w:fldChar w:fldCharType="begin"/>
      </w:r>
      <w:r>
        <w:rPr>
          <w:rFonts w:hint="eastAsia" w:ascii="宋体" w:hAnsi="宋体" w:cs="宋体"/>
          <w:sz w:val="24"/>
          <w:szCs w:val="24"/>
        </w:rPr>
        <w:instrText xml:space="preserve"> PAGEREF _Toc4189 </w:instrText>
      </w:r>
      <w:r>
        <w:rPr>
          <w:rFonts w:hint="eastAsia" w:ascii="宋体" w:hAnsi="宋体" w:cs="宋体"/>
          <w:sz w:val="24"/>
          <w:szCs w:val="24"/>
        </w:rPr>
        <w:fldChar w:fldCharType="separate"/>
      </w:r>
      <w:r>
        <w:rPr>
          <w:rFonts w:hint="eastAsia" w:ascii="宋体" w:hAnsi="宋体" w:cs="宋体"/>
          <w:sz w:val="24"/>
          <w:szCs w:val="24"/>
        </w:rPr>
        <w:t>- 4 -</w:t>
      </w:r>
      <w:r>
        <w:rPr>
          <w:rFonts w:hint="eastAsia" w:ascii="宋体" w:hAnsi="宋体" w:cs="宋体"/>
          <w:sz w:val="24"/>
          <w:szCs w:val="24"/>
        </w:rPr>
        <w:fldChar w:fldCharType="end"/>
      </w:r>
      <w:bookmarkEnd w:id="2"/>
      <w:bookmarkEnd w:id="3"/>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_Toc15360 </w:instrText>
      </w:r>
      <w:r>
        <w:rPr>
          <w:rFonts w:hint="eastAsia" w:ascii="宋体" w:hAnsi="宋体" w:cs="宋体"/>
          <w:sz w:val="24"/>
          <w:szCs w:val="24"/>
        </w:rPr>
        <w:fldChar w:fldCharType="separate"/>
      </w:r>
      <w:r>
        <w:rPr>
          <w:rFonts w:hint="eastAsia" w:ascii="宋体" w:hAnsi="宋体" w:cs="宋体"/>
          <w:bCs/>
          <w:sz w:val="24"/>
          <w:szCs w:val="24"/>
        </w:rPr>
        <w:t>投标人须知</w:t>
      </w:r>
      <w:r>
        <w:rPr>
          <w:rFonts w:hint="eastAsia" w:ascii="宋体" w:hAnsi="宋体" w:cs="宋体"/>
          <w:sz w:val="24"/>
          <w:szCs w:val="24"/>
        </w:rPr>
        <w:tab/>
      </w:r>
      <w:bookmarkStart w:id="4" w:name="_Hlt41637206"/>
      <w:r>
        <w:rPr>
          <w:rFonts w:hint="eastAsia" w:ascii="宋体" w:hAnsi="宋体" w:cs="宋体"/>
          <w:sz w:val="24"/>
          <w:szCs w:val="24"/>
        </w:rPr>
        <w:fldChar w:fldCharType="begin"/>
      </w:r>
      <w:r>
        <w:rPr>
          <w:rFonts w:hint="eastAsia" w:ascii="宋体" w:hAnsi="宋体" w:cs="宋体"/>
          <w:sz w:val="24"/>
          <w:szCs w:val="24"/>
        </w:rPr>
        <w:instrText xml:space="preserve"> PAGEREF _Toc15360 </w:instrText>
      </w:r>
      <w:r>
        <w:rPr>
          <w:rFonts w:hint="eastAsia" w:ascii="宋体" w:hAnsi="宋体" w:cs="宋体"/>
          <w:sz w:val="24"/>
          <w:szCs w:val="24"/>
        </w:rPr>
        <w:fldChar w:fldCharType="separate"/>
      </w:r>
      <w:r>
        <w:rPr>
          <w:rFonts w:hint="eastAsia" w:ascii="宋体" w:hAnsi="宋体" w:cs="宋体"/>
          <w:sz w:val="24"/>
          <w:szCs w:val="24"/>
        </w:rPr>
        <w:t>- 7 -</w:t>
      </w:r>
      <w:r>
        <w:rPr>
          <w:rFonts w:hint="eastAsia" w:ascii="宋体" w:hAnsi="宋体" w:cs="宋体"/>
          <w:sz w:val="24"/>
          <w:szCs w:val="24"/>
        </w:rPr>
        <w:fldChar w:fldCharType="end"/>
      </w:r>
      <w:bookmarkEnd w:id="4"/>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_Toc32110 </w:instrText>
      </w:r>
      <w:r>
        <w:rPr>
          <w:rFonts w:hint="eastAsia" w:ascii="宋体" w:hAnsi="宋体" w:cs="宋体"/>
          <w:sz w:val="24"/>
          <w:szCs w:val="24"/>
        </w:rPr>
        <w:fldChar w:fldCharType="separate"/>
      </w:r>
      <w:r>
        <w:rPr>
          <w:rFonts w:hint="eastAsia" w:ascii="宋体" w:hAnsi="宋体" w:cs="宋体"/>
          <w:sz w:val="24"/>
          <w:szCs w:val="24"/>
        </w:rPr>
        <w:t>第三章  评标办法（综合评标法）</w:t>
      </w:r>
      <w:r>
        <w:rPr>
          <w:rFonts w:hint="eastAsia" w:ascii="宋体" w:hAnsi="宋体" w:cs="宋体"/>
          <w:sz w:val="24"/>
          <w:szCs w:val="24"/>
        </w:rPr>
        <w:tab/>
      </w:r>
      <w:bookmarkStart w:id="5" w:name="_Hlt41654647"/>
      <w:r>
        <w:rPr>
          <w:rFonts w:hint="eastAsia" w:ascii="宋体" w:hAnsi="宋体" w:cs="宋体"/>
          <w:sz w:val="24"/>
          <w:szCs w:val="24"/>
        </w:rPr>
        <w:fldChar w:fldCharType="begin"/>
      </w:r>
      <w:r>
        <w:rPr>
          <w:rFonts w:hint="eastAsia" w:ascii="宋体" w:hAnsi="宋体" w:cs="宋体"/>
          <w:sz w:val="24"/>
          <w:szCs w:val="24"/>
        </w:rPr>
        <w:instrText xml:space="preserve"> PAGEREF _Toc32110 </w:instrText>
      </w:r>
      <w:r>
        <w:rPr>
          <w:rFonts w:hint="eastAsia" w:ascii="宋体" w:hAnsi="宋体" w:cs="宋体"/>
          <w:sz w:val="24"/>
          <w:szCs w:val="24"/>
        </w:rPr>
        <w:fldChar w:fldCharType="separate"/>
      </w:r>
      <w:r>
        <w:rPr>
          <w:rFonts w:hint="eastAsia" w:ascii="宋体" w:hAnsi="宋体" w:cs="宋体"/>
          <w:sz w:val="24"/>
          <w:szCs w:val="24"/>
        </w:rPr>
        <w:t>- 1</w:t>
      </w:r>
      <w:r>
        <w:rPr>
          <w:rFonts w:hint="eastAsia" w:ascii="宋体" w:hAnsi="宋体" w:cs="宋体"/>
          <w:sz w:val="24"/>
          <w:szCs w:val="24"/>
          <w:lang w:val="en-US" w:eastAsia="zh-CN"/>
        </w:rPr>
        <w:t>3</w:t>
      </w:r>
      <w:r>
        <w:rPr>
          <w:rFonts w:hint="eastAsia" w:ascii="宋体" w:hAnsi="宋体" w:cs="宋体"/>
          <w:sz w:val="24"/>
          <w:szCs w:val="24"/>
        </w:rPr>
        <w:t xml:space="preserve"> -</w:t>
      </w:r>
      <w:r>
        <w:rPr>
          <w:rFonts w:hint="eastAsia" w:ascii="宋体" w:hAnsi="宋体" w:cs="宋体"/>
          <w:sz w:val="24"/>
          <w:szCs w:val="24"/>
        </w:rPr>
        <w:fldChar w:fldCharType="end"/>
      </w:r>
      <w:bookmarkEnd w:id="5"/>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_Toc26684 </w:instrText>
      </w:r>
      <w:r>
        <w:rPr>
          <w:rFonts w:hint="eastAsia" w:ascii="宋体" w:hAnsi="宋体" w:cs="宋体"/>
          <w:sz w:val="24"/>
          <w:szCs w:val="24"/>
        </w:rPr>
        <w:fldChar w:fldCharType="separate"/>
      </w:r>
      <w:r>
        <w:rPr>
          <w:rFonts w:hint="eastAsia" w:ascii="宋体" w:hAnsi="宋体" w:cs="宋体"/>
          <w:bCs/>
          <w:sz w:val="24"/>
          <w:szCs w:val="24"/>
        </w:rPr>
        <w:t>第四章  招标人需求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_Toc26684 </w:instrText>
      </w:r>
      <w:r>
        <w:rPr>
          <w:rFonts w:hint="eastAsia" w:ascii="宋体" w:hAnsi="宋体" w:cs="宋体"/>
          <w:sz w:val="24"/>
          <w:szCs w:val="24"/>
        </w:rPr>
        <w:fldChar w:fldCharType="separate"/>
      </w:r>
      <w:r>
        <w:rPr>
          <w:rFonts w:hint="eastAsia" w:ascii="宋体" w:hAnsi="宋体" w:cs="宋体"/>
          <w:sz w:val="24"/>
          <w:szCs w:val="24"/>
        </w:rPr>
        <w:t>- 1</w:t>
      </w:r>
      <w:r>
        <w:rPr>
          <w:rFonts w:hint="eastAsia" w:ascii="宋体" w:hAnsi="宋体" w:cs="宋体"/>
          <w:sz w:val="24"/>
          <w:szCs w:val="24"/>
          <w:lang w:val="en-US" w:eastAsia="zh-CN"/>
        </w:rPr>
        <w:t>6</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_Toc25677 </w:instrText>
      </w:r>
      <w:r>
        <w:rPr>
          <w:rFonts w:hint="eastAsia" w:ascii="宋体" w:hAnsi="宋体" w:cs="宋体"/>
          <w:sz w:val="24"/>
          <w:szCs w:val="24"/>
        </w:rPr>
        <w:fldChar w:fldCharType="separate"/>
      </w:r>
      <w:r>
        <w:rPr>
          <w:rFonts w:hint="eastAsia" w:ascii="宋体" w:hAnsi="宋体" w:cs="宋体"/>
          <w:bCs/>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_Toc25677 </w:instrText>
      </w:r>
      <w:r>
        <w:rPr>
          <w:rFonts w:hint="eastAsia" w:ascii="宋体" w:hAnsi="宋体" w:cs="宋体"/>
          <w:sz w:val="24"/>
          <w:szCs w:val="24"/>
        </w:rPr>
        <w:fldChar w:fldCharType="separate"/>
      </w:r>
      <w:r>
        <w:rPr>
          <w:rFonts w:hint="eastAsia" w:ascii="宋体" w:hAnsi="宋体" w:cs="宋体"/>
          <w:sz w:val="24"/>
          <w:szCs w:val="24"/>
        </w:rPr>
        <w:t>- 18 -</w:t>
      </w:r>
      <w:r>
        <w:rPr>
          <w:rFonts w:hint="eastAsia" w:ascii="宋体" w:hAnsi="宋体" w:cs="宋体"/>
          <w:sz w:val="24"/>
          <w:szCs w:val="24"/>
        </w:rPr>
        <w:fldChar w:fldCharType="end"/>
      </w:r>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_Toc11951 </w:instrText>
      </w:r>
      <w:r>
        <w:rPr>
          <w:rFonts w:hint="eastAsia" w:ascii="宋体" w:hAnsi="宋体" w:cs="宋体"/>
          <w:sz w:val="24"/>
          <w:szCs w:val="24"/>
        </w:rPr>
        <w:fldChar w:fldCharType="separate"/>
      </w:r>
      <w:r>
        <w:rPr>
          <w:rFonts w:hint="eastAsia" w:ascii="宋体" w:hAnsi="宋体" w:cs="宋体"/>
          <w:bCs/>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_Toc11951 </w:instrText>
      </w:r>
      <w:r>
        <w:rPr>
          <w:rFonts w:hint="eastAsia" w:ascii="宋体" w:hAnsi="宋体" w:cs="宋体"/>
          <w:sz w:val="24"/>
          <w:szCs w:val="24"/>
        </w:rPr>
        <w:fldChar w:fldCharType="separate"/>
      </w:r>
      <w:r>
        <w:rPr>
          <w:rFonts w:hint="eastAsia" w:ascii="宋体" w:hAnsi="宋体" w:cs="宋体"/>
          <w:sz w:val="24"/>
          <w:szCs w:val="24"/>
        </w:rPr>
        <w:t>- 20 -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_Toc6908 </w:instrText>
      </w:r>
      <w:r>
        <w:rPr>
          <w:rFonts w:hint="eastAsia" w:ascii="宋体" w:hAnsi="宋体" w:cs="宋体"/>
          <w:sz w:val="24"/>
          <w:szCs w:val="24"/>
        </w:rPr>
        <w:fldChar w:fldCharType="separate"/>
      </w:r>
      <w:r>
        <w:rPr>
          <w:rFonts w:hint="eastAsia" w:ascii="宋体" w:hAnsi="宋体" w:cs="宋体"/>
          <w:sz w:val="24"/>
          <w:szCs w:val="24"/>
        </w:rPr>
        <w:t>一、投 标 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_Toc6908 </w:instrText>
      </w:r>
      <w:r>
        <w:rPr>
          <w:rFonts w:hint="eastAsia" w:ascii="宋体" w:hAnsi="宋体" w:cs="宋体"/>
          <w:sz w:val="24"/>
          <w:szCs w:val="24"/>
        </w:rPr>
        <w:fldChar w:fldCharType="separate"/>
      </w:r>
      <w:r>
        <w:rPr>
          <w:rFonts w:hint="eastAsia" w:ascii="宋体" w:hAnsi="宋体" w:cs="宋体"/>
          <w:sz w:val="24"/>
          <w:szCs w:val="24"/>
        </w:rPr>
        <w:t>- 22 -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_Toc19420 </w:instrText>
      </w:r>
      <w:r>
        <w:rPr>
          <w:rFonts w:hint="eastAsia" w:ascii="宋体" w:hAnsi="宋体" w:cs="宋体"/>
          <w:sz w:val="24"/>
          <w:szCs w:val="24"/>
        </w:rPr>
        <w:fldChar w:fldCharType="separate"/>
      </w:r>
      <w:r>
        <w:rPr>
          <w:rFonts w:hint="eastAsia" w:ascii="宋体" w:hAnsi="宋体" w:cs="宋体"/>
          <w:sz w:val="24"/>
          <w:szCs w:val="24"/>
        </w:rPr>
        <w:t>二、法定代表人身份证明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_Toc19420 </w:instrText>
      </w:r>
      <w:r>
        <w:rPr>
          <w:rFonts w:hint="eastAsia" w:ascii="宋体" w:hAnsi="宋体" w:cs="宋体"/>
          <w:sz w:val="24"/>
          <w:szCs w:val="24"/>
        </w:rPr>
        <w:fldChar w:fldCharType="separate"/>
      </w:r>
      <w:r>
        <w:rPr>
          <w:rFonts w:hint="eastAsia" w:ascii="宋体" w:hAnsi="宋体" w:cs="宋体"/>
          <w:sz w:val="24"/>
          <w:szCs w:val="24"/>
        </w:rPr>
        <w:t>- 23 -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_Toc6694 </w:instrText>
      </w:r>
      <w:r>
        <w:rPr>
          <w:rFonts w:hint="eastAsia" w:ascii="宋体" w:hAnsi="宋体" w:cs="宋体"/>
          <w:sz w:val="24"/>
          <w:szCs w:val="24"/>
        </w:rPr>
        <w:fldChar w:fldCharType="separate"/>
      </w:r>
      <w:r>
        <w:rPr>
          <w:rFonts w:hint="eastAsia" w:ascii="宋体" w:hAnsi="宋体" w:cs="宋体"/>
          <w:sz w:val="24"/>
          <w:szCs w:val="24"/>
        </w:rPr>
        <w:t>三、法定代表人授权委托书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_Toc6694 </w:instrText>
      </w:r>
      <w:r>
        <w:rPr>
          <w:rFonts w:hint="eastAsia" w:ascii="宋体" w:hAnsi="宋体" w:cs="宋体"/>
          <w:sz w:val="24"/>
          <w:szCs w:val="24"/>
        </w:rPr>
        <w:fldChar w:fldCharType="separate"/>
      </w:r>
      <w:r>
        <w:rPr>
          <w:rFonts w:hint="eastAsia" w:ascii="宋体" w:hAnsi="宋体" w:cs="宋体"/>
          <w:sz w:val="24"/>
          <w:szCs w:val="24"/>
        </w:rPr>
        <w:t>- 24 -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_Toc12305 </w:instrText>
      </w:r>
      <w:r>
        <w:rPr>
          <w:rFonts w:hint="eastAsia" w:ascii="宋体" w:hAnsi="宋体" w:cs="宋体"/>
          <w:sz w:val="24"/>
          <w:szCs w:val="24"/>
        </w:rPr>
        <w:fldChar w:fldCharType="separate"/>
      </w:r>
      <w:r>
        <w:rPr>
          <w:rFonts w:hint="eastAsia" w:ascii="宋体" w:hAnsi="宋体" w:cs="宋体"/>
          <w:sz w:val="24"/>
          <w:szCs w:val="24"/>
        </w:rPr>
        <w:t>四</w:t>
      </w:r>
      <w:r>
        <w:rPr>
          <w:rFonts w:hint="eastAsia" w:ascii="宋体" w:hAnsi="宋体" w:cs="宋体"/>
          <w:bCs/>
          <w:sz w:val="24"/>
          <w:szCs w:val="24"/>
        </w:rPr>
        <w:t>、投标报价表及说明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_Toc12305 </w:instrText>
      </w:r>
      <w:r>
        <w:rPr>
          <w:rFonts w:hint="eastAsia" w:ascii="宋体" w:hAnsi="宋体" w:cs="宋体"/>
          <w:sz w:val="24"/>
          <w:szCs w:val="24"/>
        </w:rPr>
        <w:fldChar w:fldCharType="separate"/>
      </w:r>
      <w:r>
        <w:rPr>
          <w:rFonts w:hint="eastAsia" w:ascii="宋体" w:hAnsi="宋体" w:cs="宋体"/>
          <w:sz w:val="24"/>
          <w:szCs w:val="24"/>
        </w:rPr>
        <w:t>- 25 -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_Toc22394 </w:instrText>
      </w:r>
      <w:r>
        <w:rPr>
          <w:rFonts w:hint="eastAsia" w:ascii="宋体" w:hAnsi="宋体" w:cs="宋体"/>
          <w:sz w:val="24"/>
          <w:szCs w:val="24"/>
        </w:rPr>
        <w:fldChar w:fldCharType="separate"/>
      </w:r>
      <w:r>
        <w:rPr>
          <w:rFonts w:hint="eastAsia" w:ascii="宋体" w:hAnsi="宋体" w:cs="宋体"/>
          <w:sz w:val="24"/>
          <w:szCs w:val="24"/>
        </w:rPr>
        <w:t>五</w:t>
      </w:r>
      <w:r>
        <w:rPr>
          <w:rFonts w:hint="eastAsia" w:ascii="宋体" w:hAnsi="宋体" w:cs="宋体"/>
          <w:bCs/>
          <w:sz w:val="24"/>
          <w:szCs w:val="24"/>
        </w:rPr>
        <w:t>、投标人综合概况表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_Toc22394 </w:instrText>
      </w:r>
      <w:r>
        <w:rPr>
          <w:rFonts w:hint="eastAsia" w:ascii="宋体" w:hAnsi="宋体" w:cs="宋体"/>
          <w:sz w:val="24"/>
          <w:szCs w:val="24"/>
        </w:rPr>
        <w:fldChar w:fldCharType="separate"/>
      </w:r>
      <w:r>
        <w:rPr>
          <w:rFonts w:hint="eastAsia" w:ascii="宋体" w:hAnsi="宋体" w:cs="宋体"/>
          <w:sz w:val="24"/>
          <w:szCs w:val="24"/>
        </w:rPr>
        <w:t>- 26 -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_Toc25840 </w:instrText>
      </w:r>
      <w:r>
        <w:rPr>
          <w:rFonts w:hint="eastAsia" w:ascii="宋体" w:hAnsi="宋体" w:cs="宋体"/>
          <w:sz w:val="24"/>
          <w:szCs w:val="24"/>
        </w:rPr>
        <w:fldChar w:fldCharType="separate"/>
      </w:r>
      <w:r>
        <w:rPr>
          <w:rFonts w:hint="eastAsia" w:ascii="宋体" w:hAnsi="宋体" w:cs="宋体"/>
          <w:sz w:val="24"/>
          <w:szCs w:val="24"/>
        </w:rPr>
        <w:t>六</w:t>
      </w:r>
      <w:r>
        <w:rPr>
          <w:rFonts w:hint="eastAsia" w:ascii="宋体" w:hAnsi="宋体" w:cs="宋体"/>
          <w:bCs/>
          <w:sz w:val="24"/>
          <w:szCs w:val="24"/>
        </w:rPr>
        <w:t>、资格审查资料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_Toc25840 </w:instrText>
      </w:r>
      <w:r>
        <w:rPr>
          <w:rFonts w:hint="eastAsia" w:ascii="宋体" w:hAnsi="宋体" w:cs="宋体"/>
          <w:sz w:val="24"/>
          <w:szCs w:val="24"/>
        </w:rPr>
        <w:fldChar w:fldCharType="separate"/>
      </w:r>
      <w:r>
        <w:rPr>
          <w:rFonts w:hint="eastAsia" w:ascii="宋体" w:hAnsi="宋体" w:cs="宋体"/>
          <w:sz w:val="24"/>
          <w:szCs w:val="24"/>
        </w:rPr>
        <w:t>- 27 -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_Toc3631 </w:instrText>
      </w:r>
      <w:r>
        <w:rPr>
          <w:rFonts w:hint="eastAsia" w:ascii="宋体" w:hAnsi="宋体" w:cs="宋体"/>
          <w:sz w:val="24"/>
          <w:szCs w:val="24"/>
        </w:rPr>
        <w:fldChar w:fldCharType="separate"/>
      </w:r>
      <w:r>
        <w:rPr>
          <w:rFonts w:hint="eastAsia" w:ascii="宋体" w:hAnsi="宋体" w:cs="宋体"/>
          <w:sz w:val="24"/>
          <w:szCs w:val="24"/>
        </w:rPr>
        <w:t>七</w:t>
      </w:r>
      <w:r>
        <w:rPr>
          <w:rFonts w:hint="eastAsia" w:ascii="宋体" w:hAnsi="宋体" w:cs="宋体"/>
          <w:bCs/>
          <w:sz w:val="24"/>
          <w:szCs w:val="24"/>
        </w:rPr>
        <w:t>、近三年（</w:t>
      </w:r>
      <w:r>
        <w:rPr>
          <w:rFonts w:ascii="宋体" w:hAnsi="宋体" w:cs="宋体"/>
          <w:bCs/>
          <w:sz w:val="24"/>
          <w:szCs w:val="24"/>
        </w:rPr>
        <w:t>201</w:t>
      </w:r>
      <w:r>
        <w:rPr>
          <w:rFonts w:hint="eastAsia" w:ascii="宋体" w:hAnsi="宋体" w:cs="宋体"/>
          <w:bCs/>
          <w:sz w:val="24"/>
          <w:szCs w:val="24"/>
        </w:rPr>
        <w:t>8年1</w:t>
      </w:r>
      <w:r>
        <w:rPr>
          <w:rFonts w:hint="eastAsia" w:ascii="宋体" w:hAnsi="宋体" w:cs="宋体"/>
          <w:bCs/>
          <w:sz w:val="24"/>
          <w:szCs w:val="24"/>
          <w:lang w:val="en-US" w:eastAsia="zh-CN"/>
        </w:rPr>
        <w:t>1</w:t>
      </w:r>
      <w:r>
        <w:rPr>
          <w:rFonts w:hint="eastAsia" w:ascii="宋体" w:hAnsi="宋体" w:cs="宋体"/>
          <w:bCs/>
          <w:sz w:val="24"/>
          <w:szCs w:val="24"/>
        </w:rPr>
        <w:t>月-</w:t>
      </w:r>
      <w:r>
        <w:rPr>
          <w:rFonts w:hint="eastAsia" w:ascii="宋体" w:hAnsi="宋体" w:cs="宋体"/>
          <w:sz w:val="24"/>
          <w:szCs w:val="24"/>
        </w:rPr>
        <w:t>2021年1</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bCs/>
          <w:sz w:val="24"/>
          <w:szCs w:val="24"/>
        </w:rPr>
        <w:t>）业绩情况表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_Toc3631 </w:instrText>
      </w:r>
      <w:r>
        <w:rPr>
          <w:rFonts w:hint="eastAsia" w:ascii="宋体" w:hAnsi="宋体" w:cs="宋体"/>
          <w:sz w:val="24"/>
          <w:szCs w:val="24"/>
        </w:rPr>
        <w:fldChar w:fldCharType="separate"/>
      </w:r>
      <w:r>
        <w:rPr>
          <w:rFonts w:hint="eastAsia" w:ascii="宋体" w:hAnsi="宋体" w:cs="宋体"/>
          <w:sz w:val="24"/>
          <w:szCs w:val="24"/>
        </w:rPr>
        <w:t>- 30 -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_Toc18300 </w:instrText>
      </w:r>
      <w:r>
        <w:rPr>
          <w:rFonts w:hint="eastAsia" w:ascii="宋体" w:hAnsi="宋体" w:cs="宋体"/>
          <w:sz w:val="24"/>
          <w:szCs w:val="24"/>
        </w:rPr>
        <w:fldChar w:fldCharType="separate"/>
      </w:r>
      <w:r>
        <w:rPr>
          <w:rFonts w:hint="eastAsia" w:ascii="宋体" w:hAnsi="宋体" w:cs="宋体"/>
          <w:sz w:val="24"/>
          <w:szCs w:val="24"/>
        </w:rPr>
        <w:t>八</w:t>
      </w:r>
      <w:r>
        <w:rPr>
          <w:rFonts w:hint="eastAsia" w:ascii="宋体" w:hAnsi="宋体" w:cs="宋体"/>
          <w:bCs/>
          <w:sz w:val="24"/>
          <w:szCs w:val="24"/>
        </w:rPr>
        <w:t>、服务方案及综合实力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_Toc18300 </w:instrText>
      </w:r>
      <w:r>
        <w:rPr>
          <w:rFonts w:hint="eastAsia" w:ascii="宋体" w:hAnsi="宋体" w:cs="宋体"/>
          <w:sz w:val="24"/>
          <w:szCs w:val="24"/>
        </w:rPr>
        <w:fldChar w:fldCharType="separate"/>
      </w:r>
      <w:r>
        <w:rPr>
          <w:rFonts w:hint="eastAsia" w:ascii="宋体" w:hAnsi="宋体" w:cs="宋体"/>
          <w:sz w:val="24"/>
          <w:szCs w:val="24"/>
        </w:rPr>
        <w:t>- 31 -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_Toc16037 </w:instrText>
      </w:r>
      <w:r>
        <w:rPr>
          <w:rFonts w:hint="eastAsia" w:ascii="宋体" w:hAnsi="宋体" w:cs="宋体"/>
          <w:sz w:val="24"/>
          <w:szCs w:val="24"/>
        </w:rPr>
        <w:fldChar w:fldCharType="separate"/>
      </w:r>
      <w:r>
        <w:rPr>
          <w:rFonts w:hint="eastAsia" w:ascii="宋体" w:hAnsi="宋体" w:cs="宋体"/>
          <w:sz w:val="24"/>
          <w:szCs w:val="24"/>
        </w:rPr>
        <w:t>九</w:t>
      </w:r>
      <w:r>
        <w:rPr>
          <w:rFonts w:hint="eastAsia" w:ascii="宋体" w:hAnsi="宋体" w:cs="宋体"/>
          <w:bCs/>
          <w:sz w:val="24"/>
          <w:szCs w:val="24"/>
        </w:rPr>
        <w:t>、其他相关证明材料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_Toc16037 </w:instrText>
      </w:r>
      <w:r>
        <w:rPr>
          <w:rFonts w:hint="eastAsia" w:ascii="宋体" w:hAnsi="宋体" w:cs="宋体"/>
          <w:sz w:val="24"/>
          <w:szCs w:val="24"/>
        </w:rPr>
        <w:fldChar w:fldCharType="separate"/>
      </w:r>
      <w:r>
        <w:rPr>
          <w:rFonts w:hint="eastAsia" w:ascii="宋体" w:hAnsi="宋体" w:cs="宋体"/>
          <w:sz w:val="24"/>
          <w:szCs w:val="24"/>
        </w:rPr>
        <w:t>- 32 -</w:t>
      </w:r>
      <w:r>
        <w:rPr>
          <w:rFonts w:hint="eastAsia" w:ascii="宋体" w:hAnsi="宋体" w:cs="宋体"/>
          <w:sz w:val="24"/>
          <w:szCs w:val="24"/>
        </w:rPr>
        <w:fldChar w:fldCharType="end"/>
      </w:r>
      <w:r>
        <w:rPr>
          <w:rFonts w:hint="eastAsia" w:ascii="宋体" w:hAnsi="宋体" w:cs="宋体"/>
          <w:sz w:val="24"/>
          <w:szCs w:val="24"/>
        </w:rPr>
        <w:fldChar w:fldCharType="end"/>
      </w:r>
    </w:p>
    <w:p>
      <w:pPr>
        <w:spacing w:line="360" w:lineRule="auto"/>
        <w:rPr>
          <w:rFonts w:ascii="宋体" w:cs="宋体"/>
          <w:sz w:val="24"/>
        </w:rPr>
        <w:sectPr>
          <w:headerReference r:id="rId4" w:type="first"/>
          <w:footerReference r:id="rId6" w:type="first"/>
          <w:headerReference r:id="rId3" w:type="default"/>
          <w:footerReference r:id="rId5" w:type="default"/>
          <w:pgSz w:w="11906" w:h="16838"/>
          <w:pgMar w:top="1440" w:right="1701" w:bottom="1440" w:left="1701" w:header="851" w:footer="992" w:gutter="0"/>
          <w:pgNumType w:fmt="numberInDash" w:start="1"/>
          <w:cols w:space="720" w:num="1"/>
          <w:docGrid w:type="linesAndChars" w:linePitch="380" w:charSpace="0"/>
        </w:sectPr>
      </w:pPr>
      <w:r>
        <w:rPr>
          <w:rFonts w:hint="eastAsia" w:ascii="宋体" w:hAnsi="宋体" w:cs="宋体"/>
          <w:sz w:val="24"/>
        </w:rPr>
        <w:fldChar w:fldCharType="end"/>
      </w:r>
    </w:p>
    <w:p>
      <w:pPr>
        <w:pStyle w:val="3"/>
        <w:spacing w:line="360" w:lineRule="auto"/>
        <w:jc w:val="center"/>
        <w:rPr>
          <w:rFonts w:hint="eastAsia"/>
          <w:b w:val="0"/>
          <w:sz w:val="28"/>
          <w:szCs w:val="28"/>
        </w:rPr>
      </w:pPr>
      <w:r>
        <w:rPr>
          <w:rFonts w:hint="eastAsia"/>
          <w:b w:val="0"/>
          <w:sz w:val="24"/>
          <w:szCs w:val="24"/>
        </w:rPr>
        <w:t>（</w:t>
      </w:r>
      <w:bookmarkStart w:id="6" w:name="_Hlk83392629"/>
      <w:r>
        <w:rPr>
          <w:rFonts w:hint="eastAsia" w:ascii="宋体" w:hAnsi="宋体" w:cs="宋体"/>
          <w:sz w:val="24"/>
          <w:szCs w:val="24"/>
        </w:rPr>
        <w:t>S103济枣线山亭区凫城至市中区曾店段改建工程</w:t>
      </w:r>
      <w:bookmarkEnd w:id="6"/>
      <w:r>
        <w:rPr>
          <w:rFonts w:hint="eastAsia" w:ascii="宋体" w:hAnsi="宋体" w:cs="宋体"/>
          <w:sz w:val="24"/>
          <w:szCs w:val="24"/>
        </w:rPr>
        <w:t>商品混凝土采购</w:t>
      </w:r>
      <w:r>
        <w:rPr>
          <w:rFonts w:hint="eastAsia"/>
          <w:b w:val="0"/>
          <w:sz w:val="24"/>
          <w:szCs w:val="24"/>
        </w:rPr>
        <w:t>）</w:t>
      </w:r>
    </w:p>
    <w:p>
      <w:pPr>
        <w:pStyle w:val="35"/>
        <w:shd w:val="clear" w:color="auto" w:fill="FFFFFF"/>
        <w:spacing w:before="0" w:beforeAutospacing="0" w:after="0" w:afterAutospacing="0" w:line="400" w:lineRule="exact"/>
        <w:jc w:val="center"/>
        <w:outlineLvl w:val="1"/>
        <w:rPr>
          <w:rFonts w:hint="eastAsia"/>
          <w:b/>
          <w:sz w:val="28"/>
          <w:szCs w:val="28"/>
        </w:rPr>
      </w:pPr>
      <w:bookmarkStart w:id="7" w:name="_Toc9294"/>
      <w:r>
        <w:rPr>
          <w:rFonts w:hint="eastAsia"/>
          <w:b/>
          <w:sz w:val="28"/>
          <w:szCs w:val="28"/>
        </w:rPr>
        <w:t>第一章  招标公告</w:t>
      </w:r>
      <w:bookmarkEnd w:id="7"/>
    </w:p>
    <w:p>
      <w:pPr>
        <w:pStyle w:val="35"/>
        <w:shd w:val="clear" w:color="auto" w:fill="FFFFFF"/>
        <w:spacing w:before="0" w:beforeAutospacing="0" w:after="0" w:afterAutospacing="0" w:line="400" w:lineRule="exact"/>
        <w:jc w:val="center"/>
        <w:rPr>
          <w:b/>
          <w:sz w:val="28"/>
          <w:szCs w:val="28"/>
        </w:rPr>
      </w:pP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本招标项目为</w:t>
      </w:r>
      <w:r>
        <w:rPr>
          <w:rFonts w:hint="eastAsia"/>
          <w:b/>
          <w:sz w:val="21"/>
          <w:szCs w:val="21"/>
        </w:rPr>
        <w:t>S103济枣线山亭区凫城至市中区曾店段改建工程商品混凝土采购</w:t>
      </w:r>
      <w:r>
        <w:rPr>
          <w:rFonts w:hint="eastAsia" w:cs="Times New Roman"/>
          <w:kern w:val="2"/>
          <w:sz w:val="21"/>
          <w:szCs w:val="21"/>
        </w:rPr>
        <w:t>，招标编号：CGC2021-JS-CL-15，招标人为中国地质工程集团有限公司</w:t>
      </w:r>
      <w:r>
        <w:rPr>
          <w:rFonts w:hint="eastAsia"/>
          <w:sz w:val="21"/>
          <w:szCs w:val="21"/>
        </w:rPr>
        <w:t>。项目资金由招标人自筹，资金已落实。项</w:t>
      </w:r>
      <w:r>
        <w:rPr>
          <w:rFonts w:hint="eastAsia" w:cs="Times New Roman"/>
          <w:kern w:val="2"/>
          <w:sz w:val="21"/>
          <w:szCs w:val="21"/>
        </w:rPr>
        <w:t>目已具备招标条件，现进行公开招标，邀请合格的投标人参加投标。</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8" w:name="_Toc660"/>
      <w:r>
        <w:rPr>
          <w:rFonts w:hint="eastAsia" w:cs="Times New Roman"/>
          <w:b/>
          <w:kern w:val="2"/>
          <w:sz w:val="21"/>
          <w:szCs w:val="21"/>
        </w:rPr>
        <w:t>一、招标项目名称及招标编号</w:t>
      </w:r>
      <w:bookmarkEnd w:id="8"/>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1、项目名称：</w:t>
      </w:r>
      <w:r>
        <w:rPr>
          <w:rFonts w:hint="eastAsia"/>
          <w:bCs/>
          <w:sz w:val="21"/>
          <w:szCs w:val="21"/>
        </w:rPr>
        <w:t>S103济枣线山亭区凫城至市中区曾店段改建工程商品混凝土采购</w:t>
      </w:r>
      <w:r>
        <w:rPr>
          <w:rFonts w:hint="eastAsia" w:cs="Times New Roman"/>
          <w:kern w:val="2"/>
          <w:sz w:val="21"/>
          <w:szCs w:val="21"/>
        </w:rPr>
        <w:t xml:space="preserve">                              </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2、招标编号：CGC2021-JS-CL-15</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9" w:name="_Toc31888"/>
      <w:r>
        <w:rPr>
          <w:rFonts w:hint="eastAsia" w:cs="Times New Roman"/>
          <w:b/>
          <w:kern w:val="2"/>
          <w:sz w:val="21"/>
          <w:szCs w:val="21"/>
        </w:rPr>
        <w:t>二、招标内容与服务期限</w:t>
      </w:r>
      <w:bookmarkEnd w:id="9"/>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cs="Times New Roman"/>
          <w:kern w:val="2"/>
          <w:sz w:val="21"/>
          <w:szCs w:val="21"/>
        </w:rPr>
        <w:t>1</w:t>
      </w:r>
      <w:r>
        <w:rPr>
          <w:rFonts w:hint="eastAsia" w:cs="Times New Roman"/>
          <w:kern w:val="2"/>
          <w:sz w:val="21"/>
          <w:szCs w:val="21"/>
        </w:rPr>
        <w:t>、工程地点：山东省枣庄市山亭区凫城镇。</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bookmarkStart w:id="10" w:name="_Toc319769473"/>
      <w:bookmarkStart w:id="11" w:name="_Toc184704555"/>
      <w:bookmarkStart w:id="12" w:name="_Toc319394714"/>
      <w:r>
        <w:rPr>
          <w:rFonts w:hint="eastAsia" w:cs="Times New Roman"/>
          <w:kern w:val="2"/>
          <w:sz w:val="21"/>
          <w:szCs w:val="21"/>
        </w:rPr>
        <w:t>2、招标内容：项目所需商品混凝土约6</w:t>
      </w:r>
      <w:r>
        <w:rPr>
          <w:rFonts w:hint="eastAsia" w:cs="Times New Roman"/>
          <w:kern w:val="2"/>
          <w:sz w:val="21"/>
          <w:szCs w:val="21"/>
          <w:lang w:val="en-US" w:eastAsia="zh-CN"/>
        </w:rPr>
        <w:t>5000</w:t>
      </w:r>
      <w:r>
        <w:rPr>
          <w:rFonts w:hint="eastAsia" w:cs="Times New Roman"/>
          <w:kern w:val="2"/>
          <w:sz w:val="21"/>
          <w:szCs w:val="21"/>
        </w:rPr>
        <w:t>m</w:t>
      </w:r>
      <w:r>
        <w:rPr>
          <w:rFonts w:hint="eastAsia" w:cs="Times New Roman"/>
          <w:kern w:val="2"/>
          <w:sz w:val="21"/>
          <w:szCs w:val="21"/>
          <w:vertAlign w:val="superscript"/>
        </w:rPr>
        <w:t>3</w:t>
      </w:r>
      <w:r>
        <w:rPr>
          <w:rFonts w:hint="eastAsia" w:cs="Times New Roman"/>
          <w:kern w:val="2"/>
          <w:sz w:val="21"/>
          <w:szCs w:val="21"/>
          <w:lang w:eastAsia="zh-CN"/>
        </w:rPr>
        <w:t>（</w:t>
      </w:r>
      <w:r>
        <w:rPr>
          <w:rFonts w:hint="eastAsia" w:ascii="宋体" w:hAnsi="宋体" w:eastAsia="宋体" w:cs="宋体"/>
          <w:sz w:val="21"/>
          <w:szCs w:val="21"/>
        </w:rPr>
        <w:t>数量、品类均为暂估，不作为结算依据，具体结算以</w:t>
      </w:r>
      <w:r>
        <w:rPr>
          <w:rFonts w:hint="eastAsia" w:cs="宋体"/>
          <w:sz w:val="21"/>
          <w:szCs w:val="21"/>
          <w:lang w:eastAsia="zh-CN"/>
        </w:rPr>
        <w:t>招标人</w:t>
      </w:r>
      <w:r>
        <w:rPr>
          <w:rFonts w:hint="eastAsia" w:ascii="宋体" w:hAnsi="宋体" w:eastAsia="宋体" w:cs="宋体"/>
          <w:sz w:val="21"/>
          <w:szCs w:val="21"/>
        </w:rPr>
        <w:t>实际进货并验收合格的数量为准</w:t>
      </w:r>
      <w:r>
        <w:rPr>
          <w:rFonts w:hint="eastAsia" w:cs="宋体"/>
          <w:lang w:eastAsia="zh-CN"/>
        </w:rPr>
        <w:t>）</w:t>
      </w:r>
      <w:r>
        <w:rPr>
          <w:rFonts w:hint="eastAsia" w:cs="Times New Roman"/>
          <w:kern w:val="2"/>
          <w:sz w:val="21"/>
          <w:szCs w:val="21"/>
        </w:rPr>
        <w:t>。</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3、技术标准：见第四章  招标人技术/服务需求。</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4、本项目不划分标包。</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3" w:name="_Toc27494"/>
      <w:r>
        <w:rPr>
          <w:rFonts w:hint="eastAsia" w:cs="Times New Roman"/>
          <w:b/>
          <w:kern w:val="2"/>
          <w:sz w:val="21"/>
          <w:szCs w:val="21"/>
        </w:rPr>
        <w:t>三、投标人资格要求</w:t>
      </w:r>
      <w:bookmarkEnd w:id="10"/>
      <w:bookmarkEnd w:id="11"/>
      <w:bookmarkEnd w:id="12"/>
      <w:bookmarkEnd w:id="13"/>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bookmarkStart w:id="14" w:name="_Toc184704556"/>
      <w:bookmarkStart w:id="15" w:name="_Toc319394715"/>
      <w:bookmarkStart w:id="16" w:name="_Toc319769474"/>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ww.ccgp.gov.cn）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5、本项目不接受联合体投标。</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7" w:name="_Toc30456"/>
      <w:r>
        <w:rPr>
          <w:rFonts w:hint="eastAsia" w:cs="Times New Roman"/>
          <w:b/>
          <w:kern w:val="2"/>
          <w:sz w:val="21"/>
          <w:szCs w:val="21"/>
        </w:rPr>
        <w:t>四、资格审查方法</w:t>
      </w:r>
      <w:bookmarkEnd w:id="14"/>
      <w:bookmarkEnd w:id="15"/>
      <w:bookmarkEnd w:id="16"/>
      <w:bookmarkEnd w:id="17"/>
    </w:p>
    <w:p>
      <w:pPr>
        <w:spacing w:line="380" w:lineRule="exact"/>
        <w:ind w:firstLine="420" w:firstLineChars="200"/>
        <w:rPr>
          <w:rFonts w:ascii="宋体"/>
          <w:szCs w:val="21"/>
        </w:rPr>
      </w:pPr>
      <w:r>
        <w:rPr>
          <w:rFonts w:hint="eastAsia" w:hAnsi="宋体"/>
          <w:bCs/>
          <w:szCs w:val="21"/>
        </w:rPr>
        <w:t>本项目实行资格后审的方式，投标人自行判断是否符合招标公告的要求，并决定是否购买招标文件和参加投标。</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8" w:name="_Toc319769475"/>
      <w:bookmarkStart w:id="19" w:name="_Toc319394716"/>
      <w:bookmarkStart w:id="20" w:name="_Toc16561"/>
      <w:bookmarkStart w:id="21" w:name="_Toc184704557"/>
      <w:r>
        <w:rPr>
          <w:rFonts w:hint="eastAsia" w:cs="Times New Roman"/>
          <w:b/>
          <w:kern w:val="2"/>
          <w:sz w:val="21"/>
          <w:szCs w:val="21"/>
        </w:rPr>
        <w:t>五、招标文件的获取</w:t>
      </w:r>
      <w:bookmarkEnd w:id="18"/>
      <w:bookmarkEnd w:id="19"/>
      <w:bookmarkEnd w:id="20"/>
      <w:bookmarkEnd w:id="21"/>
    </w:p>
    <w:p>
      <w:pPr>
        <w:spacing w:line="380" w:lineRule="exact"/>
        <w:ind w:firstLine="420" w:firstLineChars="200"/>
        <w:rPr>
          <w:rFonts w:hint="eastAsia" w:ascii="宋体" w:hAnsi="宋体"/>
          <w:bCs/>
          <w:szCs w:val="21"/>
        </w:rPr>
      </w:pPr>
      <w:r>
        <w:rPr>
          <w:rFonts w:ascii="宋体" w:hAnsi="宋体"/>
          <w:bCs/>
          <w:szCs w:val="21"/>
        </w:rPr>
        <w:t>1</w:t>
      </w:r>
      <w:r>
        <w:rPr>
          <w:rFonts w:hint="eastAsia" w:ascii="宋体" w:hAnsi="宋体"/>
          <w:bCs/>
          <w:szCs w:val="21"/>
        </w:rPr>
        <w:t>、招标文件获取地点：投标人到中国地质工程集团有限公司网站新闻中心进行下载。</w:t>
      </w:r>
    </w:p>
    <w:p>
      <w:pPr>
        <w:spacing w:line="380" w:lineRule="exact"/>
        <w:ind w:firstLine="420" w:firstLineChars="200"/>
        <w:rPr>
          <w:rFonts w:hint="eastAsia" w:ascii="宋体"/>
          <w:bCs/>
          <w:szCs w:val="21"/>
        </w:rPr>
      </w:pPr>
      <w:r>
        <w:rPr>
          <w:rFonts w:hint="eastAsia" w:ascii="宋体" w:hAnsi="宋体"/>
          <w:bCs/>
          <w:szCs w:val="21"/>
        </w:rPr>
        <w:t>2、招标文件不收取费用。</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2" w:name="_Toc41"/>
      <w:r>
        <w:rPr>
          <w:rFonts w:hint="eastAsia" w:cs="Times New Roman"/>
          <w:b/>
          <w:kern w:val="2"/>
          <w:sz w:val="21"/>
          <w:szCs w:val="21"/>
        </w:rPr>
        <w:t>六、投标文件递交截止时间、地点及开标时间、地点</w:t>
      </w:r>
      <w:bookmarkEnd w:id="22"/>
    </w:p>
    <w:p>
      <w:pPr>
        <w:topLinePunct/>
        <w:spacing w:line="380" w:lineRule="exact"/>
        <w:ind w:firstLine="420" w:firstLineChars="200"/>
        <w:rPr>
          <w:rFonts w:ascii="宋体"/>
          <w:szCs w:val="21"/>
        </w:rPr>
      </w:pPr>
      <w:r>
        <w:rPr>
          <w:rFonts w:ascii="宋体" w:hAnsi="宋体"/>
          <w:szCs w:val="21"/>
        </w:rPr>
        <w:t>1</w:t>
      </w:r>
      <w:r>
        <w:rPr>
          <w:rFonts w:hint="eastAsia" w:ascii="宋体" w:hAnsi="宋体"/>
          <w:szCs w:val="21"/>
        </w:rPr>
        <w:t>、投标文件递交截止时间及开标时间：</w:t>
      </w:r>
      <w:r>
        <w:rPr>
          <w:rFonts w:hint="eastAsia" w:ascii="宋体" w:hAnsi="宋体"/>
          <w:szCs w:val="21"/>
          <w:u w:val="single"/>
        </w:rPr>
        <w:t>以在中国地质工程集团有限公司网站公告之日起第七天的09时30分（北京时间，周末及法定节假日除外）</w:t>
      </w:r>
      <w:r>
        <w:rPr>
          <w:rFonts w:hint="eastAsia" w:ascii="宋体" w:hAnsi="宋体"/>
          <w:szCs w:val="21"/>
        </w:rPr>
        <w:t>。</w:t>
      </w:r>
    </w:p>
    <w:p>
      <w:pPr>
        <w:spacing w:line="380" w:lineRule="exact"/>
        <w:ind w:firstLine="420" w:firstLineChars="200"/>
        <w:rPr>
          <w:rFonts w:ascii="宋体"/>
          <w:bCs/>
          <w:szCs w:val="21"/>
        </w:rPr>
      </w:pPr>
      <w:r>
        <w:rPr>
          <w:rFonts w:ascii="宋体" w:hAnsi="宋体"/>
          <w:szCs w:val="21"/>
        </w:rPr>
        <w:t>2</w:t>
      </w:r>
      <w:r>
        <w:rPr>
          <w:rFonts w:hint="eastAsia" w:ascii="宋体" w:hAnsi="宋体"/>
          <w:szCs w:val="21"/>
        </w:rPr>
        <w:t>、投标文件递交地点及开标地点：江苏省南京市江东北路301号1栋24楼</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3" w:name="_Toc1550"/>
      <w:r>
        <w:rPr>
          <w:rFonts w:hint="eastAsia" w:cs="Times New Roman"/>
          <w:b/>
          <w:kern w:val="2"/>
          <w:sz w:val="21"/>
          <w:szCs w:val="21"/>
        </w:rPr>
        <w:t>七、发布公告的媒介</w:t>
      </w:r>
      <w:bookmarkEnd w:id="23"/>
    </w:p>
    <w:p>
      <w:pPr>
        <w:spacing w:line="380" w:lineRule="exact"/>
        <w:ind w:firstLine="420" w:firstLineChars="200"/>
        <w:rPr>
          <w:rFonts w:ascii="宋体"/>
          <w:szCs w:val="21"/>
        </w:rPr>
      </w:pPr>
      <w:r>
        <w:rPr>
          <w:rFonts w:hint="eastAsia" w:ascii="宋体" w:hAnsi="宋体"/>
          <w:szCs w:val="21"/>
        </w:rPr>
        <w:t>本次招标公告在中国地质工程集团有限公司网站新闻中心进行发布，其他媒介转载无效。</w:t>
      </w:r>
    </w:p>
    <w:p>
      <w:pPr>
        <w:pStyle w:val="35"/>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4" w:name="_Toc6373"/>
      <w:r>
        <w:rPr>
          <w:rFonts w:hint="eastAsia" w:cs="Times New Roman"/>
          <w:b/>
          <w:kern w:val="2"/>
          <w:sz w:val="21"/>
          <w:szCs w:val="21"/>
        </w:rPr>
        <w:t>八、联系方式</w:t>
      </w:r>
      <w:bookmarkEnd w:id="24"/>
    </w:p>
    <w:p>
      <w:pPr>
        <w:spacing w:line="380" w:lineRule="exact"/>
        <w:ind w:firstLine="420" w:firstLineChars="200"/>
        <w:rPr>
          <w:rFonts w:hint="eastAsia" w:ascii="宋体"/>
          <w:szCs w:val="21"/>
        </w:rPr>
      </w:pPr>
      <w:r>
        <w:rPr>
          <w:rFonts w:hint="eastAsia" w:ascii="宋体" w:hAnsi="宋体"/>
          <w:szCs w:val="21"/>
        </w:rPr>
        <w:t>招</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 xml:space="preserve">人：中国地质工程集团有限公司                                </w:t>
      </w:r>
    </w:p>
    <w:p>
      <w:pPr>
        <w:spacing w:line="380" w:lineRule="exact"/>
        <w:ind w:firstLine="420" w:firstLineChars="200"/>
        <w:rPr>
          <w:rFonts w:hint="eastAsia"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 xml:space="preserve">址：江苏省南京市鼓楼区江东北路301号1栋24楼 </w:t>
      </w:r>
    </w:p>
    <w:p>
      <w:pPr>
        <w:spacing w:line="380" w:lineRule="exact"/>
        <w:ind w:firstLine="420" w:firstLineChars="200"/>
        <w:rPr>
          <w:rFonts w:hint="eastAsia"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 xml:space="preserve">人：马子雯 </w:t>
      </w:r>
    </w:p>
    <w:p>
      <w:pPr>
        <w:spacing w:line="380" w:lineRule="exact"/>
        <w:ind w:firstLine="420" w:firstLineChars="200"/>
        <w:rPr>
          <w:rFonts w:hint="eastAsia"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 xml:space="preserve">话：025-86262905 </w:t>
      </w:r>
    </w:p>
    <w:p>
      <w:pPr>
        <w:spacing w:line="380" w:lineRule="exact"/>
        <w:ind w:firstLine="420" w:firstLineChars="200"/>
        <w:rPr>
          <w:rFonts w:ascii="宋体" w:hAnsi="宋体"/>
          <w:szCs w:val="21"/>
        </w:rPr>
      </w:pPr>
      <w:r>
        <w:rPr>
          <w:rFonts w:hint="eastAsia" w:ascii="宋体" w:hAnsi="宋体"/>
          <w:szCs w:val="21"/>
        </w:rPr>
        <w:t>邮    箱：zgdzjscg@163.com</w:t>
      </w:r>
    </w:p>
    <w:p>
      <w:pPr>
        <w:pStyle w:val="3"/>
        <w:spacing w:before="0" w:after="0" w:line="360" w:lineRule="auto"/>
        <w:jc w:val="center"/>
        <w:rPr>
          <w:rFonts w:hint="eastAsia"/>
          <w:sz w:val="28"/>
          <w:szCs w:val="28"/>
        </w:rPr>
      </w:pPr>
      <w:bookmarkStart w:id="25" w:name="_Toc447265500"/>
      <w:bookmarkStart w:id="26" w:name="_Toc24186"/>
      <w:bookmarkStart w:id="27" w:name="_Toc16175982"/>
      <w:bookmarkStart w:id="28" w:name="_Toc447188665"/>
      <w:bookmarkStart w:id="29" w:name="_Toc447265214"/>
      <w:r>
        <w:rPr>
          <w:rFonts w:hint="eastAsia"/>
          <w:sz w:val="28"/>
          <w:szCs w:val="28"/>
        </w:rPr>
        <w:t>第二章  投标人须知</w:t>
      </w:r>
      <w:bookmarkEnd w:id="25"/>
      <w:bookmarkEnd w:id="26"/>
      <w:bookmarkEnd w:id="27"/>
      <w:bookmarkEnd w:id="28"/>
      <w:bookmarkEnd w:id="29"/>
    </w:p>
    <w:p>
      <w:pPr>
        <w:pStyle w:val="2"/>
        <w:snapToGrid w:val="0"/>
        <w:spacing w:before="240" w:after="120" w:line="240" w:lineRule="auto"/>
        <w:jc w:val="center"/>
        <w:rPr>
          <w:rFonts w:ascii="宋体" w:hAnsi="宋体" w:eastAsia="宋体" w:cs="宋体"/>
          <w:sz w:val="24"/>
          <w:szCs w:val="24"/>
        </w:rPr>
      </w:pPr>
      <w:bookmarkStart w:id="30" w:name="_Toc227057884"/>
      <w:bookmarkStart w:id="31" w:name="_Toc10210412"/>
      <w:bookmarkStart w:id="32" w:name="_Toc4189"/>
      <w:bookmarkStart w:id="33" w:name="_Toc447265215"/>
      <w:bookmarkStart w:id="34" w:name="_Toc226969277"/>
      <w:bookmarkStart w:id="35" w:name="_Toc447265501"/>
      <w:bookmarkStart w:id="36" w:name="_Toc447188666"/>
      <w:bookmarkStart w:id="37" w:name="_Toc16175983"/>
      <w:r>
        <w:rPr>
          <w:rFonts w:hint="eastAsia" w:ascii="宋体" w:hAnsi="宋体" w:eastAsia="宋体" w:cs="宋体"/>
          <w:bCs w:val="0"/>
          <w:sz w:val="24"/>
          <w:szCs w:val="24"/>
        </w:rPr>
        <w:t>投标人须知前附表</w:t>
      </w:r>
      <w:bookmarkEnd w:id="30"/>
      <w:bookmarkEnd w:id="31"/>
      <w:bookmarkEnd w:id="32"/>
      <w:bookmarkEnd w:id="33"/>
      <w:bookmarkEnd w:id="34"/>
      <w:bookmarkEnd w:id="35"/>
      <w:bookmarkEnd w:id="36"/>
      <w:bookmarkEnd w:id="37"/>
    </w:p>
    <w:p>
      <w:pPr>
        <w:autoSpaceDE w:val="0"/>
        <w:autoSpaceDN w:val="0"/>
        <w:ind w:firstLine="420" w:firstLineChars="200"/>
        <w:rPr>
          <w:rFonts w:ascii="宋体" w:cs="宋体"/>
        </w:rPr>
      </w:pPr>
      <w:r>
        <w:rPr>
          <w:rFonts w:hint="eastAsia" w:ascii="宋体" w:hAnsi="宋体" w:cs="宋体"/>
          <w:szCs w:val="21"/>
        </w:rPr>
        <w:t>本投标人须知前附表是对投标人须知正文的具体补充和修改，如有矛盾，以本前附表为准。</w:t>
      </w:r>
    </w:p>
    <w:tbl>
      <w:tblPr>
        <w:tblStyle w:val="39"/>
        <w:tblW w:w="864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61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840"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序号</w:t>
            </w:r>
          </w:p>
        </w:tc>
        <w:tc>
          <w:tcPr>
            <w:tcW w:w="1666"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条款名称</w:t>
            </w:r>
          </w:p>
        </w:tc>
        <w:tc>
          <w:tcPr>
            <w:tcW w:w="6141"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w:t>
            </w:r>
          </w:p>
        </w:tc>
        <w:tc>
          <w:tcPr>
            <w:tcW w:w="6141" w:type="dxa"/>
            <w:noWrap w:val="0"/>
            <w:vAlign w:val="center"/>
          </w:tcPr>
          <w:p>
            <w:pPr>
              <w:spacing w:line="380" w:lineRule="exact"/>
              <w:rPr>
                <w:rFonts w:hint="eastAsia" w:ascii="宋体"/>
                <w:szCs w:val="21"/>
              </w:rPr>
            </w:pPr>
            <w:r>
              <w:rPr>
                <w:rFonts w:hint="eastAsia" w:ascii="宋体" w:hAnsi="宋体"/>
                <w:szCs w:val="21"/>
              </w:rPr>
              <w:t xml:space="preserve">招标人：中国地质工程集团有限公司                                </w:t>
            </w:r>
          </w:p>
          <w:p>
            <w:pPr>
              <w:spacing w:line="380" w:lineRule="exact"/>
              <w:rPr>
                <w:rFonts w:hint="eastAsia"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 xml:space="preserve">址：江苏省南京市鼓楼区江东北路301号1栋24楼 </w:t>
            </w:r>
          </w:p>
          <w:p>
            <w:pPr>
              <w:spacing w:line="380" w:lineRule="exact"/>
              <w:rPr>
                <w:rFonts w:hint="eastAsia" w:ascii="宋体"/>
                <w:szCs w:val="21"/>
              </w:rPr>
            </w:pPr>
            <w:r>
              <w:rPr>
                <w:rFonts w:hint="eastAsia" w:ascii="宋体" w:hAnsi="宋体"/>
                <w:szCs w:val="21"/>
              </w:rPr>
              <w:t xml:space="preserve">联系人：马子雯 </w:t>
            </w:r>
          </w:p>
          <w:p>
            <w:pPr>
              <w:spacing w:line="360" w:lineRule="exact"/>
              <w:rPr>
                <w:rFonts w:hint="eastAsia"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话：025-86262905</w:t>
            </w:r>
          </w:p>
          <w:p>
            <w:pPr>
              <w:spacing w:line="360" w:lineRule="exact"/>
              <w:rPr>
                <w:rFonts w:ascii="宋体" w:hAnsi="宋体"/>
                <w:szCs w:val="21"/>
              </w:rPr>
            </w:pPr>
            <w:r>
              <w:rPr>
                <w:rFonts w:hint="eastAsia" w:ascii="宋体" w:hAnsi="宋体"/>
                <w:szCs w:val="21"/>
              </w:rPr>
              <w:t>邮  箱：zgdzjscg@163.com</w:t>
            </w:r>
            <w:r>
              <w:rPr>
                <w:rFonts w:ascii="宋体" w:hAns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项目名称</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bCs/>
                <w:szCs w:val="21"/>
              </w:rPr>
              <w:t>S103济枣线山亭区凫城至市中区曾店段改建工程商品混凝土采购</w:t>
            </w:r>
            <w:r>
              <w:rPr>
                <w:rFonts w:hint="eastAsia" w:ascii="宋体" w:hAnsi="宋体" w:cs="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资金来源</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自筹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招标内容</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bCs/>
                <w:szCs w:val="21"/>
              </w:rPr>
              <w:t>项目所需商品混凝土约</w:t>
            </w:r>
            <w:r>
              <w:rPr>
                <w:rFonts w:hint="eastAsia" w:cs="Times New Roman"/>
                <w:kern w:val="2"/>
                <w:sz w:val="21"/>
                <w:szCs w:val="21"/>
              </w:rPr>
              <w:t>6</w:t>
            </w:r>
            <w:r>
              <w:rPr>
                <w:rFonts w:hint="eastAsia" w:cs="Times New Roman"/>
                <w:kern w:val="2"/>
                <w:sz w:val="21"/>
                <w:szCs w:val="21"/>
                <w:lang w:val="en-US" w:eastAsia="zh-CN"/>
              </w:rPr>
              <w:t>5000</w:t>
            </w:r>
            <w:r>
              <w:rPr>
                <w:rFonts w:hint="eastAsia" w:ascii="宋体" w:hAnsi="宋体" w:cs="宋体"/>
                <w:bCs/>
                <w:szCs w:val="21"/>
              </w:rPr>
              <w:t>m</w:t>
            </w:r>
            <w:r>
              <w:rPr>
                <w:rFonts w:hint="eastAsia" w:ascii="宋体" w:hAnsi="宋体" w:cs="宋体"/>
                <w:bCs/>
                <w:szCs w:val="21"/>
                <w:vertAlign w:val="superscript"/>
              </w:rPr>
              <w:t>3</w:t>
            </w:r>
            <w:r>
              <w:rPr>
                <w:rFonts w:hint="eastAsia" w:cs="Times New Roman"/>
                <w:kern w:val="2"/>
                <w:sz w:val="21"/>
                <w:szCs w:val="21"/>
                <w:lang w:eastAsia="zh-CN"/>
              </w:rPr>
              <w:t>（</w:t>
            </w:r>
            <w:r>
              <w:rPr>
                <w:rFonts w:hint="eastAsia" w:ascii="宋体" w:hAnsi="宋体" w:eastAsia="宋体" w:cs="宋体"/>
                <w:sz w:val="21"/>
                <w:szCs w:val="21"/>
              </w:rPr>
              <w:t>数量、品类均为暂估，不作为结算依据，具体结算以</w:t>
            </w:r>
            <w:r>
              <w:rPr>
                <w:rFonts w:hint="eastAsia" w:ascii="宋体" w:hAnsi="宋体" w:cs="宋体"/>
                <w:sz w:val="21"/>
                <w:szCs w:val="21"/>
                <w:lang w:eastAsia="zh-CN"/>
              </w:rPr>
              <w:t>招标人</w:t>
            </w:r>
            <w:r>
              <w:rPr>
                <w:rFonts w:hint="eastAsia" w:ascii="宋体" w:hAnsi="宋体" w:eastAsia="宋体" w:cs="宋体"/>
                <w:sz w:val="21"/>
                <w:szCs w:val="21"/>
              </w:rPr>
              <w:t>实际进货并验收合格的数量为准</w:t>
            </w:r>
            <w:r>
              <w:rPr>
                <w:rFonts w:hint="eastAsia" w:cs="宋体"/>
                <w:lang w:eastAsia="zh-CN"/>
              </w:rPr>
              <w:t>）</w:t>
            </w:r>
            <w:r>
              <w:rPr>
                <w:rFonts w:hint="eastAsia" w:ascii="宋体" w:hAnsi="宋体" w:cs="宋体"/>
                <w:bCs/>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5</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服务期限</w:t>
            </w:r>
          </w:p>
        </w:tc>
        <w:tc>
          <w:tcPr>
            <w:tcW w:w="6141" w:type="dxa"/>
            <w:noWrap w:val="0"/>
            <w:vAlign w:val="center"/>
          </w:tcPr>
          <w:p>
            <w:pPr>
              <w:pStyle w:val="35"/>
              <w:shd w:val="clear" w:color="auto" w:fill="FFFFFF"/>
              <w:spacing w:before="0" w:beforeAutospacing="0" w:after="0" w:afterAutospacing="0" w:line="380" w:lineRule="exact"/>
              <w:jc w:val="both"/>
              <w:rPr>
                <w:kern w:val="2"/>
                <w:sz w:val="21"/>
                <w:szCs w:val="21"/>
              </w:rPr>
            </w:pPr>
            <w:r>
              <w:rPr>
                <w:rFonts w:hint="eastAsia" w:ascii="宋体" w:hAnsi="宋体" w:eastAsia="宋体" w:cs="宋体"/>
                <w:bCs/>
                <w:kern w:val="2"/>
                <w:sz w:val="21"/>
                <w:szCs w:val="21"/>
                <w:lang w:val="en-US" w:eastAsia="zh-CN" w:bidi="ar-SA"/>
              </w:rPr>
              <w:t>本商品混凝土采购工程的工期要求24个月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标包划分</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不划分标包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公开招标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招标组织形式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资格审查方式</w:t>
            </w:r>
          </w:p>
        </w:tc>
        <w:tc>
          <w:tcPr>
            <w:tcW w:w="6141" w:type="dxa"/>
            <w:noWrap w:val="0"/>
            <w:vAlign w:val="center"/>
          </w:tcPr>
          <w:p>
            <w:pPr>
              <w:autoSpaceDE w:val="0"/>
              <w:autoSpaceDN w:val="0"/>
              <w:spacing w:line="360" w:lineRule="exact"/>
              <w:rPr>
                <w:rFonts w:ascii="宋体" w:hAnsi="宋体" w:cs="宋体"/>
                <w:szCs w:val="21"/>
              </w:rPr>
            </w:pPr>
            <w:r>
              <w:rPr>
                <w:rFonts w:hint="eastAsia" w:hAnsi="宋体"/>
                <w:bCs/>
                <w:szCs w:val="21"/>
              </w:rPr>
              <w:t>本项目实行资格后审的方式，投标人自行判断是否符合招标公告的要求，并决定是否购买招标文件和参加投标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投标人资格要求</w:t>
            </w:r>
          </w:p>
        </w:tc>
        <w:tc>
          <w:tcPr>
            <w:tcW w:w="6141" w:type="dxa"/>
            <w:noWrap w:val="0"/>
            <w:vAlign w:val="center"/>
          </w:tcPr>
          <w:p>
            <w:pPr>
              <w:pStyle w:val="35"/>
              <w:shd w:val="clear" w:color="auto" w:fill="FFFFFF"/>
              <w:spacing w:before="0" w:beforeAutospacing="0" w:after="0" w:afterAutospacing="0" w:line="380" w:lineRule="exact"/>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35"/>
              <w:shd w:val="clear" w:color="auto" w:fill="FFFFFF"/>
              <w:spacing w:before="0" w:beforeAutospacing="0" w:after="0" w:afterAutospacing="0" w:line="380" w:lineRule="exact"/>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35"/>
              <w:shd w:val="clear" w:color="auto" w:fill="FFFFFF"/>
              <w:spacing w:before="0" w:beforeAutospacing="0" w:after="0" w:afterAutospacing="0" w:line="380" w:lineRule="exact"/>
              <w:rPr>
                <w:rFonts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35"/>
              <w:shd w:val="clear" w:color="auto" w:fill="FFFFFF"/>
              <w:spacing w:before="0" w:beforeAutospacing="0" w:after="0" w:afterAutospacing="0" w:line="380" w:lineRule="exact"/>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35"/>
              <w:shd w:val="clear" w:color="auto" w:fill="FFFFFF"/>
              <w:spacing w:before="0" w:beforeAutospacing="0" w:after="0" w:afterAutospacing="0" w:line="380" w:lineRule="exact"/>
              <w:rPr>
                <w:rFonts w:cs="Times New Roman"/>
                <w:kern w:val="2"/>
                <w:sz w:val="21"/>
                <w:szCs w:val="21"/>
              </w:rPr>
            </w:pPr>
            <w:r>
              <w:rPr>
                <w:rFonts w:hint="eastAsia" w:cs="Times New Roman"/>
                <w:kern w:val="2"/>
                <w:sz w:val="21"/>
              </w:rPr>
              <w:t>5、本项目不接受联合体投标。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投标人不得存在的情形</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）投标人为不具有独立企业法人机构或其他组织；</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）被责令停业的；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）被暂停或者取消投标资格的；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）财产被接管或者冻结的；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）在最近三年内有骗取中标、严重违约、重大工程质量或者安全问题的；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）法律法规限定的其他情形。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踏勘现场</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不组织。投标人在投标之前需自行到现场踏勘，无论投标人是否踏勘，均视为投标人已完全了解现场状况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投标预备会</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投标人提出澄清问题的截止时间和方式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截止时间：以在中国地质工程集团有限公司网站公告之日起</w:t>
            </w:r>
            <w:r>
              <w:rPr>
                <w:rFonts w:hint="eastAsia" w:ascii="宋体" w:hAnsi="宋体" w:cs="宋体"/>
                <w:szCs w:val="21"/>
                <w:u w:val="single"/>
              </w:rPr>
              <w:t>第三天</w:t>
            </w:r>
            <w:r>
              <w:rPr>
                <w:rFonts w:hint="eastAsia" w:ascii="宋体" w:hAnsi="宋体" w:cs="宋体"/>
                <w:szCs w:val="21"/>
              </w:rPr>
              <w:t>的17时00分（北京时间，周末及法定节假日除外）</w:t>
            </w:r>
          </w:p>
          <w:p>
            <w:pPr>
              <w:autoSpaceDE w:val="0"/>
              <w:autoSpaceDN w:val="0"/>
              <w:spacing w:line="360" w:lineRule="exact"/>
              <w:rPr>
                <w:rFonts w:ascii="宋体" w:hAnsi="宋体" w:cs="宋体"/>
                <w:szCs w:val="21"/>
              </w:rPr>
            </w:pPr>
            <w:r>
              <w:rPr>
                <w:rFonts w:hint="eastAsia" w:ascii="宋体" w:hAnsi="宋体" w:cs="宋体"/>
                <w:szCs w:val="21"/>
              </w:rPr>
              <w:t>提出澄清的方式：书面方式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招标人发出招标文件澄清或者修改的截止时间和方式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截止时间：以在中国地质工程集团有限公司网站公告之日起</w:t>
            </w:r>
            <w:r>
              <w:rPr>
                <w:rFonts w:hint="eastAsia" w:ascii="宋体" w:hAnsi="宋体" w:cs="宋体"/>
                <w:szCs w:val="21"/>
                <w:u w:val="single"/>
              </w:rPr>
              <w:t>第五天</w:t>
            </w:r>
            <w:r>
              <w:rPr>
                <w:rFonts w:hint="eastAsia" w:ascii="宋体" w:hAnsi="宋体" w:cs="宋体"/>
                <w:szCs w:val="21"/>
              </w:rPr>
              <w:t>的17时00分（北京时间，周末及法定节假日除外）</w:t>
            </w:r>
          </w:p>
          <w:p>
            <w:pPr>
              <w:autoSpaceDE w:val="0"/>
              <w:autoSpaceDN w:val="0"/>
              <w:spacing w:line="360" w:lineRule="exact"/>
              <w:rPr>
                <w:rFonts w:hint="eastAsia" w:ascii="宋体" w:hAnsi="宋体" w:cs="宋体"/>
                <w:szCs w:val="21"/>
              </w:rPr>
            </w:pPr>
            <w:r>
              <w:rPr>
                <w:rFonts w:hint="eastAsia" w:ascii="宋体" w:hAnsi="宋体" w:cs="宋体"/>
                <w:szCs w:val="21"/>
              </w:rPr>
              <w:t>发出澄清或者修改的方式：书面方式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投标文件的盖章或者签字</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（1）投标文件封面、投标函等要求签字盖章处均应加盖单位公章并经法定代表人或委托代理人签字或盖章。</w:t>
            </w:r>
          </w:p>
          <w:p>
            <w:pPr>
              <w:autoSpaceDE w:val="0"/>
              <w:autoSpaceDN w:val="0"/>
              <w:spacing w:line="360" w:lineRule="exact"/>
              <w:rPr>
                <w:rFonts w:hint="eastAsia" w:ascii="宋体" w:hAnsi="宋体" w:cs="宋体"/>
                <w:szCs w:val="21"/>
              </w:rPr>
            </w:pPr>
            <w:r>
              <w:rPr>
                <w:rFonts w:hint="eastAsia" w:ascii="宋体" w:hAnsi="宋体" w:cs="宋体"/>
                <w:szCs w:val="21"/>
              </w:rPr>
              <w:t>（2）</w:t>
            </w:r>
            <w:r>
              <w:rPr>
                <w:rFonts w:hint="eastAsia" w:ascii="宋体" w:hAnsi="宋体"/>
              </w:rPr>
              <w:t>由法定代表人签字或盖章的在投标文件中须提交《法定代表人身份证明》，</w:t>
            </w:r>
            <w:r>
              <w:rPr>
                <w:rFonts w:hint="eastAsia" w:ascii="宋体" w:hAnsi="宋体" w:cs="宋体"/>
                <w:szCs w:val="21"/>
              </w:rPr>
              <w:t>由委托代理人签字或盖章的在投标文件中须同时提交法定代表人签署的</w:t>
            </w:r>
            <w:r>
              <w:rPr>
                <w:rFonts w:hint="eastAsia" w:ascii="宋体" w:hAnsi="宋体"/>
                <w:szCs w:val="21"/>
              </w:rPr>
              <w:t>《法定代表人授权委托书》</w:t>
            </w:r>
            <w:r>
              <w:rPr>
                <w:rFonts w:hint="eastAsia" w:ascii="宋体" w:hAnsi="宋体" w:cs="宋体"/>
                <w:szCs w:val="21"/>
              </w:rPr>
              <w:t>。</w:t>
            </w:r>
          </w:p>
          <w:p>
            <w:pPr>
              <w:autoSpaceDE w:val="0"/>
              <w:autoSpaceDN w:val="0"/>
              <w:spacing w:line="360" w:lineRule="exact"/>
              <w:rPr>
                <w:rFonts w:ascii="宋体" w:hAnsi="宋体" w:cs="宋体"/>
                <w:szCs w:val="21"/>
              </w:rPr>
            </w:pPr>
            <w:r>
              <w:rPr>
                <w:rFonts w:hint="eastAsia" w:ascii="宋体" w:hAnsi="宋体"/>
                <w:szCs w:val="21"/>
              </w:rPr>
              <w:t>（3）</w:t>
            </w:r>
            <w:r>
              <w:rPr>
                <w:rFonts w:hint="eastAsia" w:ascii="宋体" w:hAnsi="宋体"/>
              </w:rPr>
              <w:t>《法定代表人身份证明》、</w:t>
            </w:r>
            <w:r>
              <w:rPr>
                <w:rFonts w:hint="eastAsia" w:ascii="宋体" w:hAnsi="宋体"/>
                <w:szCs w:val="21"/>
              </w:rPr>
              <w:t>《法定代表人授权委托书》格式</w:t>
            </w:r>
            <w:r>
              <w:rPr>
                <w:rFonts w:hint="eastAsia" w:ascii="宋体" w:hAnsi="宋体" w:cs="宋体"/>
                <w:szCs w:val="21"/>
              </w:rPr>
              <w:t>、签字、盖章及内容均应符合招标文件要求，否则</w:t>
            </w:r>
            <w:r>
              <w:rPr>
                <w:rFonts w:hint="eastAsia" w:ascii="宋体" w:hAnsi="宋体"/>
              </w:rPr>
              <w:t>《法定代表人身份证明》、</w:t>
            </w:r>
            <w:r>
              <w:rPr>
                <w:rFonts w:hint="eastAsia" w:ascii="宋体" w:hAnsi="宋体"/>
                <w:szCs w:val="21"/>
              </w:rPr>
              <w:t>《法定代表人授权委托书》</w:t>
            </w:r>
            <w:r>
              <w:rPr>
                <w:rFonts w:hint="eastAsia" w:ascii="宋体" w:hAnsi="宋体" w:cs="宋体"/>
                <w:szCs w:val="21"/>
              </w:rPr>
              <w:t>无效。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color w:val="auto"/>
                <w:szCs w:val="21"/>
              </w:rPr>
            </w:pPr>
            <w:r>
              <w:rPr>
                <w:rFonts w:hint="eastAsia" w:ascii="宋体" w:hAnsi="宋体"/>
                <w:color w:val="auto"/>
                <w:szCs w:val="21"/>
              </w:rPr>
              <w:t>最高投标限价</w:t>
            </w:r>
          </w:p>
        </w:tc>
        <w:tc>
          <w:tcPr>
            <w:tcW w:w="6141" w:type="dxa"/>
            <w:noWrap w:val="0"/>
            <w:vAlign w:val="center"/>
          </w:tcPr>
          <w:p>
            <w:pPr>
              <w:autoSpaceDE w:val="0"/>
              <w:autoSpaceDN w:val="0"/>
              <w:spacing w:line="360" w:lineRule="exact"/>
              <w:rPr>
                <w:rFonts w:hint="eastAsia" w:ascii="宋体" w:hAnsi="宋体" w:cs="宋体"/>
                <w:szCs w:val="21"/>
                <w:highlight w:val="none"/>
                <w:lang w:eastAsia="zh-CN"/>
              </w:rPr>
            </w:pPr>
            <w:r>
              <w:rPr>
                <w:rFonts w:hint="eastAsia" w:ascii="宋体" w:hAnsi="宋体" w:cs="宋体"/>
                <w:b/>
                <w:bCs/>
                <w:szCs w:val="21"/>
                <w:highlight w:val="none"/>
                <w:lang w:val="en-US" w:eastAsia="zh-CN"/>
              </w:rPr>
              <w:t>材料部分</w:t>
            </w:r>
            <w:r>
              <w:rPr>
                <w:rFonts w:hint="eastAsia" w:ascii="宋体" w:hAnsi="宋体" w:cs="宋体"/>
                <w:szCs w:val="21"/>
                <w:highlight w:val="none"/>
                <w:lang w:val="en-US" w:eastAsia="zh-CN"/>
              </w:rPr>
              <w:t>设置最</w:t>
            </w:r>
            <w:r>
              <w:rPr>
                <w:rFonts w:hint="eastAsia" w:ascii="宋体" w:hAnsi="宋体" w:cs="宋体"/>
                <w:b w:val="0"/>
                <w:bCs w:val="0"/>
                <w:szCs w:val="21"/>
                <w:highlight w:val="none"/>
              </w:rPr>
              <w:t>高投标限价</w:t>
            </w:r>
            <w:r>
              <w:rPr>
                <w:rFonts w:hint="eastAsia" w:ascii="宋体" w:hAnsi="宋体" w:cs="宋体"/>
                <w:b w:val="0"/>
                <w:bCs w:val="0"/>
                <w:szCs w:val="21"/>
                <w:highlight w:val="none"/>
                <w:lang w:eastAsia="zh-CN"/>
              </w:rPr>
              <w:t>：</w:t>
            </w:r>
            <w:r>
              <w:rPr>
                <w:rFonts w:hint="eastAsia" w:ascii="宋体" w:hAnsi="宋体" w:cs="宋体"/>
                <w:b w:val="0"/>
                <w:bCs w:val="0"/>
                <w:szCs w:val="21"/>
                <w:highlight w:val="none"/>
                <w:u w:val="single"/>
                <w:lang w:val="en-US" w:eastAsia="zh-CN"/>
              </w:rPr>
              <w:t>2800万元</w:t>
            </w:r>
            <w:r>
              <w:rPr>
                <w:rFonts w:hint="eastAsia" w:ascii="宋体" w:hAnsi="宋体" w:cs="宋体"/>
                <w:szCs w:val="21"/>
                <w:highlight w:val="none"/>
                <w:u w:val="single"/>
                <w:lang w:eastAsia="zh-CN"/>
              </w:rPr>
              <w:t>；</w:t>
            </w:r>
            <w:r>
              <w:rPr>
                <w:rFonts w:hint="eastAsia" w:ascii="宋体" w:hAnsi="宋体" w:cs="宋体"/>
                <w:b/>
                <w:bCs/>
                <w:szCs w:val="21"/>
                <w:highlight w:val="none"/>
                <w:lang w:val="en-US" w:eastAsia="zh-CN"/>
              </w:rPr>
              <w:t>对</w:t>
            </w:r>
            <w:r>
              <w:rPr>
                <w:rFonts w:hint="eastAsia" w:ascii="宋体" w:hAnsi="宋体" w:cs="宋体"/>
                <w:b/>
                <w:bCs/>
              </w:rPr>
              <w:t>外加剂及泵送费</w:t>
            </w:r>
            <w:r>
              <w:rPr>
                <w:rFonts w:hint="eastAsia" w:ascii="宋体" w:hAnsi="宋体" w:cs="宋体"/>
                <w:b/>
                <w:bCs/>
                <w:szCs w:val="21"/>
                <w:highlight w:val="none"/>
                <w:lang w:val="en-US" w:eastAsia="zh-CN"/>
              </w:rPr>
              <w:t>部分</w:t>
            </w:r>
            <w:r>
              <w:rPr>
                <w:rFonts w:hint="eastAsia" w:ascii="宋体" w:hAnsi="宋体" w:cs="宋体"/>
                <w:szCs w:val="21"/>
                <w:highlight w:val="none"/>
                <w:lang w:val="en-US" w:eastAsia="zh-CN"/>
              </w:rPr>
              <w:t>设置最</w:t>
            </w:r>
            <w:r>
              <w:rPr>
                <w:rFonts w:hint="eastAsia" w:ascii="宋体" w:hAnsi="宋体" w:cs="宋体"/>
                <w:b w:val="0"/>
                <w:bCs w:val="0"/>
                <w:szCs w:val="21"/>
                <w:highlight w:val="none"/>
              </w:rPr>
              <w:t>高投标限价</w:t>
            </w:r>
            <w:r>
              <w:rPr>
                <w:rFonts w:hint="eastAsia" w:ascii="宋体" w:hAnsi="宋体" w:cs="宋体"/>
                <w:b w:val="0"/>
                <w:bCs w:val="0"/>
                <w:szCs w:val="21"/>
                <w:highlight w:val="none"/>
                <w:lang w:eastAsia="zh-CN"/>
              </w:rPr>
              <w:t>：</w:t>
            </w:r>
            <w:r>
              <w:rPr>
                <w:rFonts w:hint="eastAsia" w:ascii="宋体" w:hAnsi="宋体" w:cs="宋体"/>
                <w:szCs w:val="21"/>
                <w:highlight w:val="none"/>
                <w:u w:val="single"/>
                <w:lang w:val="en-US" w:eastAsia="zh-CN"/>
              </w:rPr>
              <w:t>20</w:t>
            </w:r>
            <w:r>
              <w:rPr>
                <w:rFonts w:hint="eastAsia" w:ascii="宋体" w:hAnsi="宋体" w:cs="宋体"/>
                <w:szCs w:val="21"/>
                <w:highlight w:val="none"/>
                <w:u w:val="single"/>
              </w:rPr>
              <w:t>元</w:t>
            </w:r>
            <w:r>
              <w:rPr>
                <w:rFonts w:hint="eastAsia" w:ascii="宋体" w:hAnsi="宋体" w:cs="宋体"/>
                <w:szCs w:val="21"/>
                <w:highlight w:val="none"/>
                <w:u w:val="single"/>
                <w:lang w:val="en-US" w:eastAsia="zh-CN"/>
              </w:rPr>
              <w:t>/M</w:t>
            </w:r>
            <w:r>
              <w:rPr>
                <w:rFonts w:hint="eastAsia" w:ascii="宋体" w:hAnsi="宋体" w:cs="宋体"/>
                <w:szCs w:val="21"/>
                <w:highlight w:val="none"/>
                <w:u w:val="single"/>
                <w:vertAlign w:val="superscript"/>
                <w:lang w:val="en-US" w:eastAsia="zh-CN"/>
              </w:rPr>
              <w:t>3</w:t>
            </w:r>
            <w:r>
              <w:rPr>
                <w:rFonts w:hint="eastAsia" w:ascii="宋体" w:hAnsi="宋体" w:cs="宋体"/>
                <w:szCs w:val="21"/>
                <w:highlight w:val="none"/>
              </w:rPr>
              <w:t>。</w:t>
            </w:r>
          </w:p>
          <w:p>
            <w:pPr>
              <w:autoSpaceDE w:val="0"/>
              <w:autoSpaceDN w:val="0"/>
              <w:spacing w:line="360" w:lineRule="exact"/>
              <w:rPr>
                <w:rFonts w:ascii="宋体" w:hAnsi="宋体" w:cs="宋体"/>
                <w:color w:val="auto"/>
                <w:szCs w:val="21"/>
                <w:u w:val="single"/>
              </w:rPr>
            </w:pPr>
            <w:r>
              <w:rPr>
                <w:rFonts w:hint="eastAsia" w:ascii="宋体" w:hAnsi="宋体" w:cs="宋体"/>
                <w:szCs w:val="21"/>
              </w:rPr>
              <w:t>投标人投标报价不得高于最高投标限价，否则，其投标将均视为无效投标。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color w:val="auto"/>
                <w:szCs w:val="21"/>
              </w:rPr>
            </w:pPr>
            <w:r>
              <w:rPr>
                <w:rFonts w:hint="eastAsia" w:ascii="宋体" w:hAnsi="宋体" w:cs="宋体"/>
                <w:color w:val="auto"/>
                <w:szCs w:val="21"/>
              </w:rPr>
              <w:t>投标报价具体</w:t>
            </w:r>
          </w:p>
          <w:p>
            <w:pPr>
              <w:autoSpaceDE w:val="0"/>
              <w:autoSpaceDN w:val="0"/>
              <w:spacing w:line="360" w:lineRule="exact"/>
              <w:jc w:val="center"/>
              <w:rPr>
                <w:rFonts w:ascii="宋体" w:hAnsi="宋体" w:cs="宋体"/>
                <w:color w:val="auto"/>
                <w:szCs w:val="21"/>
              </w:rPr>
            </w:pPr>
            <w:r>
              <w:rPr>
                <w:rFonts w:hint="eastAsia" w:ascii="宋体" w:hAnsi="宋体" w:cs="宋体"/>
                <w:color w:val="auto"/>
                <w:szCs w:val="21"/>
              </w:rPr>
              <w:t>要求</w:t>
            </w:r>
          </w:p>
        </w:tc>
        <w:tc>
          <w:tcPr>
            <w:tcW w:w="6141" w:type="dxa"/>
            <w:noWrap w:val="0"/>
            <w:vAlign w:val="center"/>
          </w:tcPr>
          <w:p>
            <w:pPr>
              <w:numPr>
                <w:ilvl w:val="0"/>
                <w:numId w:val="2"/>
              </w:numPr>
              <w:autoSpaceDE w:val="0"/>
              <w:autoSpaceDN w:val="0"/>
              <w:spacing w:line="360" w:lineRule="exact"/>
              <w:rPr>
                <w:rFonts w:ascii="宋体" w:hAnsi="宋体" w:cs="宋体"/>
                <w:b w:val="0"/>
                <w:bCs w:val="0"/>
                <w:color w:val="auto"/>
                <w:szCs w:val="21"/>
              </w:rPr>
            </w:pPr>
            <w:r>
              <w:rPr>
                <w:rFonts w:hint="eastAsia" w:ascii="宋体" w:hAnsi="宋体" w:cs="宋体"/>
                <w:color w:val="auto"/>
                <w:szCs w:val="21"/>
                <w:lang w:val="en-US" w:eastAsia="zh-CN"/>
              </w:rPr>
              <w:t>投标</w:t>
            </w:r>
            <w:r>
              <w:rPr>
                <w:rFonts w:hint="eastAsia" w:ascii="宋体" w:hAnsi="宋体" w:cs="宋体"/>
                <w:color w:val="auto"/>
                <w:szCs w:val="21"/>
              </w:rPr>
              <w:t>报价</w:t>
            </w:r>
            <w:r>
              <w:rPr>
                <w:rFonts w:hint="eastAsia" w:ascii="宋体" w:hAnsi="宋体" w:cs="宋体"/>
                <w:b/>
                <w:bCs/>
                <w:color w:val="auto"/>
                <w:szCs w:val="21"/>
                <w:lang w:val="en-US" w:eastAsia="zh-CN"/>
              </w:rPr>
              <w:t>材料部分</w:t>
            </w:r>
            <w:r>
              <w:rPr>
                <w:rFonts w:hint="eastAsia" w:ascii="宋体" w:hAnsi="宋体" w:cs="宋体"/>
                <w:b w:val="0"/>
                <w:bCs w:val="0"/>
                <w:color w:val="auto"/>
                <w:szCs w:val="21"/>
                <w:lang w:val="en-US" w:eastAsia="zh-CN"/>
              </w:rPr>
              <w:t>为可调总价</w:t>
            </w:r>
            <w:r>
              <w:rPr>
                <w:rFonts w:hint="eastAsia" w:ascii="宋体" w:hAnsi="宋体" w:cs="宋体"/>
                <w:b/>
                <w:bCs/>
                <w:color w:val="auto"/>
                <w:szCs w:val="21"/>
                <w:lang w:val="en-US" w:eastAsia="zh-CN"/>
              </w:rPr>
              <w:t>，</w:t>
            </w:r>
            <w:r>
              <w:rPr>
                <w:rFonts w:hint="eastAsia" w:ascii="宋体" w:hAnsi="宋体" w:cs="宋体"/>
                <w:b/>
                <w:bCs/>
              </w:rPr>
              <w:t>外加剂及泵送费</w:t>
            </w:r>
            <w:r>
              <w:rPr>
                <w:rFonts w:hint="eastAsia" w:ascii="宋体" w:hAnsi="宋体" w:cs="宋体"/>
                <w:b/>
                <w:bCs/>
                <w:lang w:val="en-US" w:eastAsia="zh-CN"/>
              </w:rPr>
              <w:t>部分</w:t>
            </w:r>
            <w:r>
              <w:rPr>
                <w:rFonts w:hint="eastAsia" w:ascii="宋体" w:hAnsi="宋体" w:cs="宋体"/>
                <w:b w:val="0"/>
                <w:bCs w:val="0"/>
                <w:lang w:val="en-US" w:eastAsia="zh-CN"/>
              </w:rPr>
              <w:t>为固定单价。</w:t>
            </w:r>
          </w:p>
          <w:p>
            <w:pPr>
              <w:numPr>
                <w:ilvl w:val="0"/>
                <w:numId w:val="2"/>
              </w:numPr>
              <w:autoSpaceDE w:val="0"/>
              <w:autoSpaceDN w:val="0"/>
              <w:spacing w:line="360" w:lineRule="exact"/>
              <w:rPr>
                <w:rFonts w:ascii="宋体" w:hAnsi="宋体" w:cs="宋体"/>
                <w:color w:val="auto"/>
                <w:szCs w:val="21"/>
              </w:rPr>
            </w:pPr>
            <w:r>
              <w:rPr>
                <w:rFonts w:hint="eastAsia" w:ascii="宋体" w:hAnsi="宋体" w:cs="宋体"/>
                <w:color w:val="auto"/>
                <w:szCs w:val="21"/>
              </w:rPr>
              <w:t>投标报价中必须包含完成本项目所产生的一切费用，招标人不再支付投标报价之外的任何费用。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19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投标有效期</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投标有效期：</w:t>
            </w:r>
            <w:r>
              <w:rPr>
                <w:rFonts w:hint="eastAsia" w:ascii="宋体" w:hAnsi="宋体" w:cs="宋体"/>
                <w:szCs w:val="21"/>
                <w:u w:val="single"/>
              </w:rPr>
              <w:t>30日历</w:t>
            </w:r>
            <w:r>
              <w:rPr>
                <w:rFonts w:hint="eastAsia" w:ascii="宋体" w:hAnsi="宋体" w:cs="宋体"/>
                <w:szCs w:val="21"/>
              </w:rPr>
              <w:t>天（从投标截止之日算起）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投标保证金</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不收取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备选投标方案</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投标文件密封和份数</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（1）正本一份，副本三份，电子版一份，投标文件电子版拷贝在</w:t>
            </w:r>
            <w:r>
              <w:rPr>
                <w:rFonts w:ascii="宋体" w:hAnsi="宋体" w:cs="宋体"/>
                <w:szCs w:val="21"/>
              </w:rPr>
              <w:t>U</w:t>
            </w:r>
            <w:r>
              <w:rPr>
                <w:rFonts w:hint="eastAsia" w:ascii="宋体" w:hAnsi="宋体" w:cs="宋体"/>
                <w:szCs w:val="21"/>
              </w:rPr>
              <w:t>盘中，内容包括投标文件全部内容，能在</w:t>
            </w:r>
            <w:r>
              <w:rPr>
                <w:rFonts w:ascii="宋体" w:hAnsi="宋体" w:cs="宋体"/>
                <w:szCs w:val="21"/>
              </w:rPr>
              <w:t>office</w:t>
            </w:r>
            <w:r>
              <w:rPr>
                <w:rFonts w:hint="eastAsia" w:ascii="宋体" w:hAnsi="宋体" w:cs="宋体"/>
                <w:szCs w:val="21"/>
              </w:rPr>
              <w:t>办公软件下正常打开。</w:t>
            </w:r>
          </w:p>
          <w:p>
            <w:pPr>
              <w:pStyle w:val="21"/>
              <w:tabs>
                <w:tab w:val="left" w:pos="630"/>
              </w:tabs>
              <w:snapToGrid w:val="0"/>
              <w:spacing w:line="360" w:lineRule="exact"/>
              <w:rPr>
                <w:rFonts w:hAnsi="宋体" w:cs="宋体"/>
                <w:kern w:val="2"/>
                <w:sz w:val="21"/>
                <w:szCs w:val="21"/>
              </w:rPr>
            </w:pPr>
            <w:r>
              <w:rPr>
                <w:rFonts w:hint="eastAsia" w:hAnsi="宋体" w:cs="宋体"/>
                <w:kern w:val="2"/>
                <w:sz w:val="21"/>
                <w:szCs w:val="21"/>
              </w:rPr>
              <w:t>（2）投标文件的“正本”、“副本”应当分别胶装装订，并于封面上明确标明“正本”、“副本”字样。</w:t>
            </w:r>
          </w:p>
          <w:p>
            <w:pPr>
              <w:pStyle w:val="21"/>
              <w:tabs>
                <w:tab w:val="left" w:pos="630"/>
              </w:tabs>
              <w:snapToGrid w:val="0"/>
              <w:spacing w:line="360" w:lineRule="exact"/>
              <w:rPr>
                <w:rFonts w:hAnsi="宋体" w:cs="宋体"/>
                <w:kern w:val="2"/>
                <w:sz w:val="21"/>
                <w:szCs w:val="21"/>
              </w:rPr>
            </w:pPr>
            <w:r>
              <w:rPr>
                <w:rFonts w:hint="eastAsia" w:hAnsi="宋体" w:cs="宋体"/>
                <w:kern w:val="2"/>
                <w:sz w:val="21"/>
                <w:szCs w:val="21"/>
              </w:rPr>
              <w:t>（3）投标文件纸质版“正本”、“副本”一同包封在一个密封包装内，并在封套的封口处加盖“密封”章或“单位公章”。投标文件电子版装入信封袋中，并在封口处加盖“密封”章或“单位公章”，与投标文件纸质版一同递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投标文件的标记要求</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投标文件外封套要求：</w:t>
            </w:r>
          </w:p>
          <w:p>
            <w:pPr>
              <w:autoSpaceDE w:val="0"/>
              <w:autoSpaceDN w:val="0"/>
              <w:spacing w:line="360" w:lineRule="exact"/>
              <w:rPr>
                <w:rFonts w:hint="eastAsia" w:ascii="宋体" w:hAnsi="宋体" w:cs="宋体"/>
                <w:szCs w:val="21"/>
              </w:rPr>
            </w:pPr>
            <w:r>
              <w:rPr>
                <w:rFonts w:hint="eastAsia" w:ascii="宋体" w:hAnsi="宋体" w:cs="宋体"/>
                <w:szCs w:val="21"/>
              </w:rPr>
              <w:t>招标人地址：江苏省南京市鼓楼区江东北路301号1栋24楼</w:t>
            </w:r>
          </w:p>
          <w:p>
            <w:pPr>
              <w:autoSpaceDE w:val="0"/>
              <w:autoSpaceDN w:val="0"/>
              <w:spacing w:line="360" w:lineRule="exact"/>
              <w:rPr>
                <w:rFonts w:hint="eastAsia" w:ascii="宋体" w:hAnsi="宋体" w:cs="宋体"/>
                <w:szCs w:val="21"/>
              </w:rPr>
            </w:pPr>
            <w:r>
              <w:rPr>
                <w:rFonts w:hint="eastAsia" w:ascii="宋体" w:hAnsi="宋体" w:cs="宋体"/>
                <w:szCs w:val="21"/>
              </w:rPr>
              <w:t xml:space="preserve">招标人名称：中国地质工程集团有限公司                                </w:t>
            </w:r>
          </w:p>
          <w:p>
            <w:pPr>
              <w:autoSpaceDE w:val="0"/>
              <w:autoSpaceDN w:val="0"/>
              <w:spacing w:line="360" w:lineRule="exact"/>
              <w:rPr>
                <w:rFonts w:hint="eastAsia" w:ascii="宋体" w:hAnsi="宋体" w:cs="宋体"/>
                <w:szCs w:val="21"/>
              </w:rPr>
            </w:pPr>
            <w:r>
              <w:rPr>
                <w:rFonts w:hint="eastAsia" w:ascii="宋体" w:hAnsi="宋体" w:cs="宋体"/>
                <w:szCs w:val="21"/>
              </w:rPr>
              <w:t>招标项目名称：</w:t>
            </w:r>
            <w:r>
              <w:rPr>
                <w:rFonts w:hint="eastAsia" w:ascii="宋体" w:hAnsi="宋体" w:cs="宋体"/>
                <w:bCs/>
                <w:szCs w:val="21"/>
              </w:rPr>
              <w:t>S103济枣线山亭区凫城至市中区曾店段改建工程商品混凝土采购</w:t>
            </w:r>
            <w:r>
              <w:rPr>
                <w:rFonts w:hint="eastAsia" w:ascii="宋体" w:hAnsi="宋体" w:cs="宋体"/>
                <w:szCs w:val="21"/>
              </w:rPr>
              <w:t xml:space="preserve">                               </w:t>
            </w:r>
          </w:p>
          <w:p>
            <w:pPr>
              <w:autoSpaceDE w:val="0"/>
              <w:autoSpaceDN w:val="0"/>
              <w:spacing w:line="360" w:lineRule="exact"/>
              <w:rPr>
                <w:rFonts w:ascii="宋体" w:hAnsi="宋体" w:cs="宋体"/>
                <w:szCs w:val="21"/>
              </w:rPr>
            </w:pPr>
            <w:r>
              <w:rPr>
                <w:rFonts w:hint="eastAsia" w:ascii="宋体" w:hAnsi="宋体" w:cs="宋体"/>
                <w:szCs w:val="21"/>
              </w:rPr>
              <w:t xml:space="preserve">      年    月    日   时   分开标，此时间以前不得开封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szCs w:val="21"/>
              </w:rPr>
              <w:t>投标文件递交截止时间和地点</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投标文件递交截止时间：以在中国地质工程集团有限公司网站公告之日起第七天的09时30分（北京时间，周末及法定节假日除外）</w:t>
            </w:r>
          </w:p>
          <w:p>
            <w:pPr>
              <w:autoSpaceDE w:val="0"/>
              <w:autoSpaceDN w:val="0"/>
              <w:spacing w:line="360" w:lineRule="exact"/>
              <w:rPr>
                <w:rFonts w:hint="eastAsia" w:ascii="宋体" w:hAnsi="宋体" w:cs="宋体"/>
                <w:szCs w:val="21"/>
              </w:rPr>
            </w:pPr>
            <w:r>
              <w:rPr>
                <w:rFonts w:hint="eastAsia" w:ascii="宋体" w:hAnsi="宋体" w:cs="宋体"/>
                <w:szCs w:val="21"/>
              </w:rPr>
              <w:t xml:space="preserve">投标文件递交地点：江苏省南京市鼓楼区江东北路301号1栋24楼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5</w:t>
            </w:r>
          </w:p>
        </w:tc>
        <w:tc>
          <w:tcPr>
            <w:tcW w:w="1666" w:type="dxa"/>
            <w:noWrap w:val="0"/>
            <w:vAlign w:val="center"/>
          </w:tcPr>
          <w:p>
            <w:pPr>
              <w:autoSpaceDE w:val="0"/>
              <w:autoSpaceDN w:val="0"/>
              <w:spacing w:line="360" w:lineRule="exact"/>
              <w:jc w:val="center"/>
              <w:rPr>
                <w:rFonts w:ascii="宋体" w:hAnsi="宋体"/>
                <w:szCs w:val="21"/>
              </w:rPr>
            </w:pPr>
            <w:r>
              <w:rPr>
                <w:rFonts w:hint="eastAsia" w:ascii="宋体" w:hAnsi="宋体"/>
                <w:szCs w:val="21"/>
              </w:rPr>
              <w:t>投标文件退还</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不退还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开标时间和地点</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同投标文件递交截止时间和地点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评标委员会组成人数</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u w:val="single"/>
              </w:rPr>
              <w:t>5</w:t>
            </w:r>
            <w:r>
              <w:rPr>
                <w:rFonts w:hint="eastAsia" w:ascii="宋体" w:hAnsi="宋体" w:cs="宋体"/>
                <w:szCs w:val="21"/>
              </w:rPr>
              <w:t>人，</w:t>
            </w:r>
            <w:r>
              <w:rPr>
                <w:rFonts w:hint="eastAsia" w:ascii="宋体" w:hAnsi="宋体"/>
                <w:szCs w:val="21"/>
              </w:rPr>
              <w:t>其中项目负责人</w:t>
            </w:r>
            <w:r>
              <w:rPr>
                <w:rFonts w:hint="eastAsia" w:ascii="宋体" w:hAnsi="宋体"/>
                <w:szCs w:val="21"/>
                <w:u w:val="single"/>
              </w:rPr>
              <w:t xml:space="preserve"> 1 </w:t>
            </w:r>
            <w:r>
              <w:rPr>
                <w:rFonts w:hint="eastAsia" w:ascii="宋体" w:hAnsi="宋体"/>
                <w:szCs w:val="21"/>
              </w:rPr>
              <w:t>人，其余</w:t>
            </w:r>
            <w:r>
              <w:rPr>
                <w:rFonts w:hint="eastAsia" w:ascii="宋体" w:hAnsi="宋体"/>
                <w:szCs w:val="21"/>
                <w:u w:val="single"/>
              </w:rPr>
              <w:t xml:space="preserve"> 4</w:t>
            </w:r>
            <w:r>
              <w:rPr>
                <w:rFonts w:ascii="宋体" w:hAnsi="宋体"/>
                <w:szCs w:val="21"/>
                <w:u w:val="single"/>
              </w:rPr>
              <w:t xml:space="preserve"> </w:t>
            </w:r>
            <w:r>
              <w:rPr>
                <w:rFonts w:hint="eastAsia" w:ascii="宋体" w:hAnsi="宋体"/>
                <w:szCs w:val="21"/>
              </w:rPr>
              <w:t>人从公司评标专家库中随机抽取产生。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评标方法</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综合评标法，详见招标文件第三章</w:t>
            </w:r>
            <w:r>
              <w:rPr>
                <w:rFonts w:ascii="宋体" w:hAnsi="宋体" w:cs="宋体"/>
                <w:szCs w:val="21"/>
              </w:rPr>
              <w:t xml:space="preserve">  </w:t>
            </w:r>
            <w:r>
              <w:rPr>
                <w:rFonts w:hint="eastAsia" w:ascii="宋体" w:hAnsi="宋体" w:cs="宋体"/>
                <w:szCs w:val="21"/>
              </w:rPr>
              <w:t>评标办法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29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中标候选人推荐原则</w:t>
            </w:r>
          </w:p>
        </w:tc>
        <w:tc>
          <w:tcPr>
            <w:tcW w:w="6141" w:type="dxa"/>
            <w:noWrap w:val="0"/>
            <w:vAlign w:val="center"/>
          </w:tcPr>
          <w:p>
            <w:pPr>
              <w:autoSpaceDE w:val="0"/>
              <w:autoSpaceDN w:val="0"/>
              <w:spacing w:line="360" w:lineRule="exact"/>
              <w:jc w:val="left"/>
              <w:rPr>
                <w:rFonts w:ascii="宋体" w:hAnsi="宋体" w:cs="宋体"/>
                <w:szCs w:val="21"/>
              </w:rPr>
            </w:pPr>
            <w:r>
              <w:rPr>
                <w:rFonts w:hint="eastAsia" w:ascii="宋体" w:hAnsi="宋体" w:cs="宋体"/>
                <w:szCs w:val="21"/>
              </w:rPr>
              <w:t>中标候选人按评标得分由高到低顺序排列，得分相同的，按投标报价得分高者优先，推荐三名中标候选人。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中标人确定</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szCs w:val="21"/>
              </w:rPr>
              <w:t>评标委员会推荐中标候选人</w:t>
            </w:r>
            <w:r>
              <w:rPr>
                <w:rFonts w:hint="eastAsia" w:ascii="宋体" w:hAnsi="宋体"/>
                <w:szCs w:val="21"/>
                <w:u w:val="single"/>
              </w:rPr>
              <w:t>3</w:t>
            </w:r>
            <w:r>
              <w:rPr>
                <w:rFonts w:hint="eastAsia" w:ascii="宋体" w:hAnsi="宋体"/>
                <w:szCs w:val="21"/>
              </w:rPr>
              <w:t>人</w:t>
            </w:r>
            <w:r>
              <w:rPr>
                <w:rFonts w:hint="eastAsia" w:ascii="宋体" w:hAnsi="宋体" w:cs="宋体"/>
                <w:szCs w:val="21"/>
              </w:rPr>
              <w:t>，</w:t>
            </w:r>
            <w:r>
              <w:rPr>
                <w:rFonts w:hint="eastAsia" w:ascii="宋体" w:hAnsi="宋体"/>
                <w:szCs w:val="21"/>
              </w:rPr>
              <w:t>中标人确定</w:t>
            </w:r>
            <w:r>
              <w:rPr>
                <w:rFonts w:hint="eastAsia" w:ascii="宋体" w:hAnsi="宋体" w:cs="宋体"/>
                <w:szCs w:val="21"/>
                <w:u w:val="single"/>
              </w:rPr>
              <w:t>1</w:t>
            </w:r>
            <w:r>
              <w:rPr>
                <w:rFonts w:hint="eastAsia" w:ascii="宋体" w:hAnsi="宋体" w:cs="宋体"/>
                <w:szCs w:val="21"/>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履约保证金金额和形式</w:t>
            </w:r>
          </w:p>
        </w:tc>
        <w:tc>
          <w:tcPr>
            <w:tcW w:w="6141" w:type="dxa"/>
            <w:noWrap w:val="0"/>
            <w:vAlign w:val="center"/>
          </w:tcPr>
          <w:p>
            <w:pPr>
              <w:autoSpaceDE w:val="0"/>
              <w:autoSpaceDN w:val="0"/>
              <w:spacing w:line="360" w:lineRule="exact"/>
              <w:jc w:val="left"/>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trPr>
        <w:tc>
          <w:tcPr>
            <w:tcW w:w="840" w:type="dxa"/>
            <w:tcBorders>
              <w:bottom w:val="single" w:color="auto" w:sz="8" w:space="0"/>
            </w:tcBorders>
            <w:noWrap w:val="0"/>
            <w:vAlign w:val="center"/>
          </w:tcPr>
          <w:p>
            <w:pPr>
              <w:autoSpaceDE w:val="0"/>
              <w:autoSpaceDN w:val="0"/>
              <w:spacing w:line="360" w:lineRule="exact"/>
              <w:jc w:val="center"/>
              <w:rPr>
                <w:rFonts w:hint="eastAsia" w:ascii="宋体" w:hAnsi="宋体" w:cs="宋体"/>
                <w:szCs w:val="21"/>
              </w:rPr>
            </w:pPr>
            <w:r>
              <w:rPr>
                <w:rFonts w:hint="eastAsia" w:ascii="宋体" w:hAnsi="宋体" w:cs="宋体"/>
                <w:szCs w:val="21"/>
              </w:rPr>
              <w:t>32</w:t>
            </w:r>
          </w:p>
        </w:tc>
        <w:tc>
          <w:tcPr>
            <w:tcW w:w="1666" w:type="dxa"/>
            <w:tcBorders>
              <w:bottom w:val="single" w:color="auto" w:sz="8" w:space="0"/>
            </w:tcBorders>
            <w:noWrap w:val="0"/>
            <w:vAlign w:val="center"/>
          </w:tcPr>
          <w:p>
            <w:pPr>
              <w:autoSpaceDE w:val="0"/>
              <w:autoSpaceDN w:val="0"/>
              <w:spacing w:line="360" w:lineRule="exact"/>
              <w:jc w:val="center"/>
              <w:rPr>
                <w:rFonts w:hint="eastAsia" w:ascii="宋体" w:hAnsi="宋体" w:cs="宋体"/>
                <w:szCs w:val="21"/>
              </w:rPr>
            </w:pPr>
            <w:r>
              <w:rPr>
                <w:rFonts w:hint="eastAsia" w:ascii="宋体" w:hAnsi="宋体" w:cs="宋体"/>
                <w:szCs w:val="21"/>
              </w:rPr>
              <w:t>其他</w:t>
            </w:r>
          </w:p>
        </w:tc>
        <w:tc>
          <w:tcPr>
            <w:tcW w:w="6141" w:type="dxa"/>
            <w:tcBorders>
              <w:bottom w:val="single" w:color="auto" w:sz="8" w:space="0"/>
            </w:tcBorders>
            <w:noWrap w:val="0"/>
            <w:vAlign w:val="center"/>
          </w:tcPr>
          <w:p>
            <w:pPr>
              <w:autoSpaceDE w:val="0"/>
              <w:autoSpaceDN w:val="0"/>
              <w:spacing w:line="360" w:lineRule="exact"/>
              <w:jc w:val="left"/>
              <w:rPr>
                <w:rFonts w:hint="eastAsia" w:ascii="宋体" w:hAnsi="宋体" w:cs="宋体"/>
                <w:szCs w:val="21"/>
              </w:rPr>
            </w:pPr>
            <w:r>
              <w:rPr>
                <w:rFonts w:hint="eastAsia" w:ascii="宋体" w:hAnsi="宋体" w:cs="宋体"/>
                <w:szCs w:val="21"/>
              </w:rPr>
              <w:t>无</w:t>
            </w:r>
          </w:p>
        </w:tc>
      </w:tr>
    </w:tbl>
    <w:p>
      <w:pPr>
        <w:pStyle w:val="2"/>
        <w:snapToGrid w:val="0"/>
        <w:spacing w:before="240" w:after="120" w:line="240" w:lineRule="auto"/>
        <w:jc w:val="center"/>
        <w:rPr>
          <w:rFonts w:ascii="宋体" w:hAnsi="宋体" w:eastAsia="宋体" w:cs="宋体"/>
          <w:bCs w:val="0"/>
          <w:sz w:val="24"/>
          <w:szCs w:val="24"/>
        </w:rPr>
      </w:pPr>
      <w:bookmarkStart w:id="38" w:name="_Toc15360"/>
      <w:bookmarkStart w:id="39" w:name="_Toc16175984"/>
      <w:bookmarkStart w:id="40" w:name="_Toc10210413"/>
      <w:bookmarkStart w:id="41" w:name="_Toc447188667"/>
      <w:bookmarkStart w:id="42" w:name="_Toc447265502"/>
      <w:bookmarkStart w:id="43" w:name="_Toc8657468"/>
      <w:bookmarkStart w:id="44" w:name="_Toc447265216"/>
      <w:bookmarkStart w:id="45" w:name="_Toc226969278"/>
      <w:bookmarkStart w:id="46" w:name="_Toc227057885"/>
      <w:bookmarkStart w:id="47" w:name="_Toc107822484"/>
      <w:bookmarkStart w:id="48" w:name="_Toc488655831"/>
      <w:r>
        <w:rPr>
          <w:rFonts w:hint="eastAsia" w:ascii="宋体" w:hAnsi="宋体" w:eastAsia="宋体" w:cs="宋体"/>
          <w:bCs w:val="0"/>
          <w:sz w:val="24"/>
          <w:szCs w:val="24"/>
        </w:rPr>
        <w:t>投标人须知</w:t>
      </w:r>
      <w:bookmarkEnd w:id="38"/>
      <w:bookmarkEnd w:id="39"/>
      <w:bookmarkEnd w:id="40"/>
    </w:p>
    <w:p>
      <w:pPr>
        <w:spacing w:line="360" w:lineRule="auto"/>
        <w:outlineLvl w:val="1"/>
        <w:rPr>
          <w:rFonts w:ascii="宋体"/>
          <w:b/>
        </w:rPr>
      </w:pPr>
      <w:bookmarkStart w:id="49" w:name="_Toc10210414"/>
      <w:bookmarkStart w:id="50" w:name="_Toc22941"/>
      <w:r>
        <w:rPr>
          <w:rFonts w:ascii="宋体" w:hAnsi="宋体"/>
          <w:b/>
        </w:rPr>
        <w:t>1.</w:t>
      </w:r>
      <w:r>
        <w:rPr>
          <w:rFonts w:hint="eastAsia" w:ascii="宋体" w:hAnsi="宋体"/>
          <w:b/>
        </w:rPr>
        <w:t>总则</w:t>
      </w:r>
      <w:bookmarkEnd w:id="41"/>
      <w:bookmarkEnd w:id="42"/>
      <w:bookmarkEnd w:id="43"/>
      <w:bookmarkEnd w:id="44"/>
      <w:bookmarkEnd w:id="49"/>
      <w:bookmarkEnd w:id="50"/>
    </w:p>
    <w:p>
      <w:pPr>
        <w:spacing w:line="360" w:lineRule="auto"/>
        <w:outlineLvl w:val="2"/>
        <w:rPr>
          <w:rFonts w:ascii="宋体"/>
          <w:b/>
        </w:rPr>
      </w:pPr>
      <w:bookmarkStart w:id="51" w:name="_Toc447265503"/>
      <w:bookmarkStart w:id="52" w:name="_Toc179632547"/>
      <w:bookmarkStart w:id="53" w:name="_Toc152042306"/>
      <w:bookmarkStart w:id="54" w:name="_Toc246996919"/>
      <w:bookmarkStart w:id="55" w:name="_Toc144974498"/>
      <w:bookmarkStart w:id="56" w:name="_Toc152045530"/>
      <w:bookmarkStart w:id="57" w:name="_Toc296602421"/>
      <w:bookmarkStart w:id="58" w:name="_Toc447265217"/>
      <w:bookmarkStart w:id="59" w:name="_Toc10210415"/>
      <w:bookmarkStart w:id="60" w:name="_Toc8657469"/>
      <w:bookmarkStart w:id="61" w:name="_Toc246996176"/>
      <w:bookmarkStart w:id="62" w:name="_Toc12775"/>
      <w:bookmarkStart w:id="63" w:name="_Toc247085690"/>
      <w:bookmarkStart w:id="64" w:name="_Toc447188668"/>
      <w:r>
        <w:rPr>
          <w:rFonts w:ascii="宋体" w:hAnsi="宋体"/>
          <w:b/>
        </w:rPr>
        <w:t>1.1</w:t>
      </w:r>
      <w:r>
        <w:rPr>
          <w:rFonts w:hint="eastAsia" w:ascii="宋体" w:hAnsi="宋体"/>
          <w:b/>
        </w:rPr>
        <w:t>项目概况</w:t>
      </w:r>
      <w:bookmarkEnd w:id="45"/>
      <w:bookmarkEnd w:id="46"/>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21"/>
        <w:tabs>
          <w:tab w:val="left" w:pos="630"/>
        </w:tabs>
        <w:snapToGrid w:val="0"/>
        <w:spacing w:line="360" w:lineRule="auto"/>
        <w:ind w:firstLine="400" w:firstLineChars="200"/>
        <w:rPr>
          <w:rFonts w:hAnsi="宋体"/>
          <w:szCs w:val="21"/>
        </w:rPr>
      </w:pPr>
      <w:r>
        <w:rPr>
          <w:rFonts w:hAnsi="宋体"/>
          <w:szCs w:val="21"/>
        </w:rPr>
        <w:t>1.1.1</w:t>
      </w:r>
      <w:r>
        <w:rPr>
          <w:rFonts w:hint="eastAsia" w:hAnsi="宋体"/>
          <w:szCs w:val="21"/>
        </w:rPr>
        <w:t>根据《中华人民共和国招标投标法》（以下简称《招标投标法》）、《中国人民共和国招标投标法实施条例》（以下简称《实施条例》）等有关法律、法规和规章的规定，本招标项目已具备招标条件，现对本项目进行公开招标。</w:t>
      </w:r>
    </w:p>
    <w:p>
      <w:pPr>
        <w:pStyle w:val="21"/>
        <w:tabs>
          <w:tab w:val="left" w:pos="630"/>
        </w:tabs>
        <w:snapToGrid w:val="0"/>
        <w:spacing w:line="360" w:lineRule="auto"/>
        <w:ind w:firstLine="400" w:firstLineChars="200"/>
        <w:rPr>
          <w:rFonts w:hAnsi="宋体"/>
          <w:szCs w:val="21"/>
        </w:rPr>
      </w:pPr>
      <w:r>
        <w:rPr>
          <w:rFonts w:hAnsi="宋体"/>
          <w:szCs w:val="21"/>
        </w:rPr>
        <w:t>1.1.2</w:t>
      </w:r>
      <w:r>
        <w:rPr>
          <w:rFonts w:hint="eastAsia" w:hAnsi="宋体"/>
          <w:szCs w:val="21"/>
        </w:rPr>
        <w:t>招标人：招标人单位名称及联系方式见投标人须知前附表。</w:t>
      </w:r>
    </w:p>
    <w:p>
      <w:pPr>
        <w:pStyle w:val="21"/>
        <w:tabs>
          <w:tab w:val="left" w:pos="630"/>
        </w:tabs>
        <w:snapToGrid w:val="0"/>
        <w:spacing w:line="360" w:lineRule="auto"/>
        <w:ind w:firstLine="400" w:firstLineChars="200"/>
        <w:rPr>
          <w:rFonts w:hAnsi="宋体"/>
          <w:szCs w:val="21"/>
        </w:rPr>
      </w:pPr>
      <w:r>
        <w:rPr>
          <w:rFonts w:hAnsi="宋体"/>
          <w:szCs w:val="21"/>
        </w:rPr>
        <w:t>1.1.3</w:t>
      </w:r>
      <w:r>
        <w:rPr>
          <w:rFonts w:hint="eastAsia" w:hAnsi="宋体"/>
          <w:szCs w:val="21"/>
        </w:rPr>
        <w:t>项目名称：项目名称见投标人须知前附表。</w:t>
      </w:r>
    </w:p>
    <w:p>
      <w:pPr>
        <w:spacing w:line="360" w:lineRule="auto"/>
        <w:outlineLvl w:val="2"/>
        <w:rPr>
          <w:rFonts w:ascii="宋体"/>
          <w:b/>
        </w:rPr>
      </w:pPr>
      <w:bookmarkStart w:id="65" w:name="_Toc447188669"/>
      <w:bookmarkStart w:id="66" w:name="_Toc226969279"/>
      <w:bookmarkStart w:id="67" w:name="_Toc227057886"/>
      <w:bookmarkStart w:id="68" w:name="_Toc10210416"/>
      <w:bookmarkStart w:id="69" w:name="_Toc7573"/>
      <w:bookmarkStart w:id="70" w:name="_Toc8657470"/>
      <w:bookmarkStart w:id="71" w:name="_Toc447265218"/>
      <w:bookmarkStart w:id="72" w:name="_Toc447265504"/>
      <w:r>
        <w:rPr>
          <w:rFonts w:ascii="宋体" w:hAnsi="宋体"/>
          <w:b/>
        </w:rPr>
        <w:t>1.2</w:t>
      </w:r>
      <w:r>
        <w:rPr>
          <w:rFonts w:hint="eastAsia" w:ascii="宋体" w:hAnsi="宋体"/>
          <w:b/>
        </w:rPr>
        <w:t>资金来源</w:t>
      </w:r>
      <w:bookmarkEnd w:id="65"/>
      <w:bookmarkEnd w:id="66"/>
      <w:bookmarkEnd w:id="67"/>
      <w:r>
        <w:rPr>
          <w:rFonts w:hint="eastAsia" w:ascii="宋体" w:hAnsi="宋体"/>
          <w:b/>
        </w:rPr>
        <w:t>和落实情况</w:t>
      </w:r>
      <w:bookmarkEnd w:id="68"/>
      <w:bookmarkEnd w:id="69"/>
      <w:bookmarkEnd w:id="70"/>
      <w:bookmarkEnd w:id="71"/>
      <w:bookmarkEnd w:id="72"/>
    </w:p>
    <w:p>
      <w:pPr>
        <w:pStyle w:val="21"/>
        <w:tabs>
          <w:tab w:val="left" w:pos="630"/>
        </w:tabs>
        <w:snapToGrid w:val="0"/>
        <w:spacing w:line="360" w:lineRule="auto"/>
        <w:ind w:firstLine="400" w:firstLineChars="200"/>
        <w:rPr>
          <w:rFonts w:hAnsi="宋体"/>
          <w:szCs w:val="21"/>
        </w:rPr>
      </w:pPr>
      <w:r>
        <w:rPr>
          <w:rFonts w:hint="eastAsia" w:hAnsi="宋体"/>
          <w:szCs w:val="21"/>
        </w:rPr>
        <w:t>本项目资金已落实，资金来源见投标人须知前附表。</w:t>
      </w:r>
    </w:p>
    <w:p>
      <w:pPr>
        <w:spacing w:line="360" w:lineRule="auto"/>
        <w:outlineLvl w:val="2"/>
        <w:rPr>
          <w:rFonts w:ascii="宋体"/>
          <w:b/>
        </w:rPr>
      </w:pPr>
      <w:bookmarkStart w:id="73" w:name="_Toc447188670"/>
      <w:bookmarkStart w:id="74" w:name="_Toc447265219"/>
      <w:bookmarkStart w:id="75" w:name="_Toc10210417"/>
      <w:bookmarkStart w:id="76" w:name="_Toc447265505"/>
      <w:bookmarkStart w:id="77" w:name="_Toc8657471"/>
      <w:bookmarkStart w:id="78" w:name="_Toc9495"/>
      <w:r>
        <w:rPr>
          <w:rFonts w:ascii="宋体" w:hAnsi="宋体"/>
          <w:b/>
        </w:rPr>
        <w:t>1.3</w:t>
      </w:r>
      <w:r>
        <w:rPr>
          <w:rFonts w:hint="eastAsia" w:ascii="宋体" w:hAnsi="宋体"/>
          <w:b/>
        </w:rPr>
        <w:t>招标</w:t>
      </w:r>
      <w:bookmarkEnd w:id="73"/>
      <w:bookmarkEnd w:id="74"/>
      <w:bookmarkEnd w:id="75"/>
      <w:bookmarkEnd w:id="76"/>
      <w:bookmarkEnd w:id="77"/>
      <w:r>
        <w:rPr>
          <w:rFonts w:hint="eastAsia" w:ascii="宋体" w:hAnsi="宋体"/>
          <w:b/>
        </w:rPr>
        <w:t>内容与服务期限</w:t>
      </w:r>
      <w:bookmarkEnd w:id="78"/>
    </w:p>
    <w:p>
      <w:pPr>
        <w:pStyle w:val="21"/>
        <w:tabs>
          <w:tab w:val="left" w:pos="630"/>
        </w:tabs>
        <w:snapToGrid w:val="0"/>
        <w:spacing w:line="360" w:lineRule="auto"/>
        <w:ind w:firstLine="400" w:firstLineChars="200"/>
        <w:rPr>
          <w:rFonts w:hAnsi="宋体"/>
          <w:szCs w:val="21"/>
        </w:rPr>
      </w:pPr>
      <w:r>
        <w:rPr>
          <w:rFonts w:hAnsi="宋体"/>
          <w:szCs w:val="21"/>
        </w:rPr>
        <w:t>1.3.1</w:t>
      </w:r>
      <w:r>
        <w:rPr>
          <w:rFonts w:hint="eastAsia" w:hAnsi="宋体"/>
          <w:szCs w:val="21"/>
        </w:rPr>
        <w:t>本项目招标内容：见投标人须知前附表。</w:t>
      </w:r>
    </w:p>
    <w:p>
      <w:pPr>
        <w:pStyle w:val="21"/>
        <w:tabs>
          <w:tab w:val="left" w:pos="630"/>
        </w:tabs>
        <w:snapToGrid w:val="0"/>
        <w:spacing w:line="360" w:lineRule="auto"/>
        <w:ind w:firstLine="400" w:firstLineChars="200"/>
        <w:rPr>
          <w:rFonts w:hAnsi="宋体"/>
          <w:szCs w:val="21"/>
        </w:rPr>
      </w:pPr>
      <w:r>
        <w:rPr>
          <w:rFonts w:hAnsi="宋体"/>
          <w:szCs w:val="21"/>
        </w:rPr>
        <w:t>1.3.2</w:t>
      </w:r>
      <w:r>
        <w:rPr>
          <w:rFonts w:hint="eastAsia" w:hAnsi="宋体"/>
          <w:szCs w:val="21"/>
        </w:rPr>
        <w:t>本项目服务期限：见投标人须知前附表。</w:t>
      </w:r>
    </w:p>
    <w:p>
      <w:pPr>
        <w:spacing w:line="360" w:lineRule="auto"/>
        <w:outlineLvl w:val="2"/>
        <w:rPr>
          <w:rFonts w:ascii="宋体"/>
          <w:b/>
        </w:rPr>
      </w:pPr>
      <w:bookmarkStart w:id="79" w:name="_Toc8657472"/>
      <w:bookmarkStart w:id="80" w:name="_Toc10210418"/>
      <w:bookmarkStart w:id="81" w:name="_Toc30303"/>
      <w:r>
        <w:rPr>
          <w:rFonts w:ascii="宋体" w:hAnsi="宋体"/>
          <w:b/>
        </w:rPr>
        <w:t>1.4</w:t>
      </w:r>
      <w:r>
        <w:rPr>
          <w:rFonts w:hint="eastAsia" w:ascii="宋体" w:hAnsi="宋体"/>
          <w:b/>
        </w:rPr>
        <w:t>标</w:t>
      </w:r>
      <w:r>
        <w:rPr>
          <w:rFonts w:hint="eastAsia" w:ascii="宋体" w:hAnsi="宋体"/>
          <w:b/>
          <w:lang w:val="en-US" w:eastAsia="zh-CN"/>
        </w:rPr>
        <w:t>段</w:t>
      </w:r>
      <w:r>
        <w:rPr>
          <w:rFonts w:hint="eastAsia" w:ascii="宋体" w:hAnsi="宋体"/>
          <w:b/>
        </w:rPr>
        <w:t>划分</w:t>
      </w:r>
      <w:bookmarkEnd w:id="79"/>
      <w:bookmarkEnd w:id="80"/>
      <w:bookmarkEnd w:id="81"/>
    </w:p>
    <w:p>
      <w:pPr>
        <w:pStyle w:val="21"/>
        <w:tabs>
          <w:tab w:val="left" w:pos="630"/>
        </w:tabs>
        <w:snapToGrid w:val="0"/>
        <w:spacing w:line="360" w:lineRule="auto"/>
        <w:ind w:firstLine="400" w:firstLineChars="200"/>
        <w:rPr>
          <w:rFonts w:hAnsi="宋体"/>
          <w:szCs w:val="21"/>
        </w:rPr>
      </w:pPr>
      <w:r>
        <w:rPr>
          <w:rFonts w:hint="eastAsia" w:hAnsi="宋体"/>
          <w:szCs w:val="21"/>
        </w:rPr>
        <w:t>本项目标包划分情况见投标人须知前附表。</w:t>
      </w:r>
    </w:p>
    <w:bookmarkEnd w:id="47"/>
    <w:p>
      <w:pPr>
        <w:spacing w:line="360" w:lineRule="auto"/>
        <w:outlineLvl w:val="2"/>
        <w:rPr>
          <w:rFonts w:ascii="宋体"/>
          <w:b/>
        </w:rPr>
      </w:pPr>
      <w:bookmarkStart w:id="82" w:name="_Toc226969281"/>
      <w:bookmarkStart w:id="83" w:name="_Toc13517"/>
      <w:bookmarkStart w:id="84" w:name="_Toc10210419"/>
      <w:bookmarkStart w:id="85" w:name="_Toc227057888"/>
      <w:bookmarkStart w:id="86" w:name="_Toc107822486"/>
      <w:bookmarkStart w:id="87" w:name="_Toc447265221"/>
      <w:bookmarkStart w:id="88" w:name="_Toc8657473"/>
      <w:bookmarkStart w:id="89" w:name="_Toc447265507"/>
      <w:bookmarkStart w:id="90" w:name="_Toc447188672"/>
      <w:r>
        <w:rPr>
          <w:rFonts w:ascii="宋体" w:hAnsi="宋体"/>
          <w:b/>
        </w:rPr>
        <w:t>1.5</w:t>
      </w:r>
      <w:r>
        <w:rPr>
          <w:rFonts w:hint="eastAsia" w:ascii="宋体" w:hAnsi="宋体"/>
          <w:b/>
        </w:rPr>
        <w:t>招标方式</w:t>
      </w:r>
      <w:bookmarkEnd w:id="82"/>
      <w:bookmarkEnd w:id="83"/>
      <w:bookmarkEnd w:id="84"/>
      <w:bookmarkEnd w:id="85"/>
      <w:bookmarkEnd w:id="86"/>
      <w:bookmarkEnd w:id="87"/>
      <w:bookmarkEnd w:id="88"/>
      <w:bookmarkEnd w:id="89"/>
      <w:bookmarkEnd w:id="90"/>
    </w:p>
    <w:p>
      <w:pPr>
        <w:pStyle w:val="21"/>
        <w:tabs>
          <w:tab w:val="left" w:pos="630"/>
        </w:tabs>
        <w:snapToGrid w:val="0"/>
        <w:spacing w:line="360" w:lineRule="auto"/>
        <w:ind w:firstLine="400" w:firstLineChars="200"/>
        <w:rPr>
          <w:rFonts w:hAnsi="宋体"/>
          <w:szCs w:val="21"/>
        </w:rPr>
      </w:pPr>
      <w:r>
        <w:rPr>
          <w:rFonts w:hAnsi="宋体"/>
          <w:szCs w:val="21"/>
        </w:rPr>
        <w:t>1.5.1</w:t>
      </w:r>
      <w:r>
        <w:rPr>
          <w:rFonts w:hint="eastAsia" w:hAnsi="宋体"/>
          <w:szCs w:val="21"/>
        </w:rPr>
        <w:t>招标方式见投标人须知前附表。</w:t>
      </w:r>
    </w:p>
    <w:p>
      <w:pPr>
        <w:pStyle w:val="21"/>
        <w:tabs>
          <w:tab w:val="left" w:pos="630"/>
        </w:tabs>
        <w:snapToGrid w:val="0"/>
        <w:spacing w:line="360" w:lineRule="auto"/>
        <w:ind w:firstLine="400" w:firstLineChars="200"/>
        <w:rPr>
          <w:rFonts w:hAnsi="宋体"/>
          <w:szCs w:val="21"/>
        </w:rPr>
      </w:pPr>
      <w:r>
        <w:rPr>
          <w:rFonts w:hAnsi="宋体"/>
          <w:szCs w:val="21"/>
        </w:rPr>
        <w:t>1.5.2</w:t>
      </w:r>
      <w:r>
        <w:rPr>
          <w:rFonts w:hint="eastAsia" w:hAnsi="宋体"/>
          <w:szCs w:val="21"/>
        </w:rPr>
        <w:t>公开招标，是指招标人以招标公告的方式邀请不特定的法人或者其他组织投标。</w:t>
      </w:r>
    </w:p>
    <w:p>
      <w:pPr>
        <w:spacing w:line="360" w:lineRule="auto"/>
        <w:outlineLvl w:val="2"/>
        <w:rPr>
          <w:rFonts w:ascii="宋体"/>
          <w:b/>
        </w:rPr>
      </w:pPr>
      <w:bookmarkStart w:id="91" w:name="_Toc8657474"/>
      <w:bookmarkStart w:id="92" w:name="_Toc10210420"/>
      <w:bookmarkStart w:id="93" w:name="_Toc26023"/>
      <w:bookmarkStart w:id="94" w:name="_Toc107822485"/>
      <w:bookmarkStart w:id="95" w:name="_Toc447265222"/>
      <w:bookmarkStart w:id="96" w:name="_Toc447265508"/>
      <w:bookmarkStart w:id="97" w:name="_Toc447188673"/>
      <w:bookmarkStart w:id="98" w:name="_Toc227057887"/>
      <w:bookmarkStart w:id="99" w:name="_Toc226969280"/>
      <w:bookmarkStart w:id="100" w:name="_Toc226969282"/>
      <w:bookmarkStart w:id="101" w:name="_Toc227057889"/>
      <w:r>
        <w:rPr>
          <w:rFonts w:ascii="宋体" w:hAnsi="宋体"/>
          <w:b/>
        </w:rPr>
        <w:t>1.6</w:t>
      </w:r>
      <w:r>
        <w:rPr>
          <w:rFonts w:hint="eastAsia" w:ascii="宋体" w:hAnsi="宋体"/>
          <w:b/>
        </w:rPr>
        <w:t>招标组织形式</w:t>
      </w:r>
      <w:bookmarkEnd w:id="91"/>
      <w:bookmarkEnd w:id="92"/>
      <w:bookmarkEnd w:id="93"/>
      <w:bookmarkEnd w:id="94"/>
      <w:bookmarkEnd w:id="95"/>
      <w:bookmarkEnd w:id="96"/>
      <w:bookmarkEnd w:id="97"/>
      <w:bookmarkEnd w:id="98"/>
      <w:bookmarkEnd w:id="99"/>
    </w:p>
    <w:p>
      <w:pPr>
        <w:pStyle w:val="21"/>
        <w:tabs>
          <w:tab w:val="left" w:pos="630"/>
        </w:tabs>
        <w:snapToGrid w:val="0"/>
        <w:spacing w:line="360" w:lineRule="auto"/>
        <w:ind w:firstLine="400" w:firstLineChars="200"/>
        <w:rPr>
          <w:rFonts w:hAnsi="宋体"/>
          <w:szCs w:val="21"/>
        </w:rPr>
      </w:pPr>
      <w:r>
        <w:rPr>
          <w:rFonts w:hint="eastAsia" w:hAnsi="宋体"/>
          <w:szCs w:val="21"/>
        </w:rPr>
        <w:t>本项目由招标人自行组织招标的方式进行，招标组织形式及联系方式见投标人须知前附表。</w:t>
      </w:r>
    </w:p>
    <w:p>
      <w:pPr>
        <w:spacing w:line="360" w:lineRule="auto"/>
        <w:outlineLvl w:val="2"/>
        <w:rPr>
          <w:rFonts w:ascii="宋体"/>
          <w:b/>
        </w:rPr>
      </w:pPr>
      <w:bookmarkStart w:id="102" w:name="_Toc447265223"/>
      <w:bookmarkStart w:id="103" w:name="_Toc447265509"/>
      <w:bookmarkStart w:id="104" w:name="_Toc17883"/>
      <w:bookmarkStart w:id="105" w:name="_Toc447188674"/>
      <w:bookmarkStart w:id="106" w:name="_Toc10210421"/>
      <w:bookmarkStart w:id="107" w:name="_Toc8657475"/>
      <w:r>
        <w:rPr>
          <w:rFonts w:ascii="宋体" w:hAnsi="宋体"/>
          <w:b/>
        </w:rPr>
        <w:t>1.7</w:t>
      </w:r>
      <w:r>
        <w:rPr>
          <w:rFonts w:hint="eastAsia" w:ascii="宋体" w:hAnsi="宋体"/>
          <w:b/>
        </w:rPr>
        <w:t>资格审查</w:t>
      </w:r>
      <w:bookmarkEnd w:id="100"/>
      <w:bookmarkEnd w:id="101"/>
      <w:bookmarkEnd w:id="102"/>
      <w:bookmarkEnd w:id="103"/>
      <w:bookmarkEnd w:id="104"/>
      <w:bookmarkEnd w:id="105"/>
      <w:bookmarkEnd w:id="106"/>
      <w:bookmarkEnd w:id="107"/>
    </w:p>
    <w:p>
      <w:pPr>
        <w:pStyle w:val="21"/>
        <w:tabs>
          <w:tab w:val="left" w:pos="630"/>
        </w:tabs>
        <w:snapToGrid w:val="0"/>
        <w:spacing w:line="360" w:lineRule="auto"/>
        <w:ind w:firstLine="400" w:firstLineChars="200"/>
        <w:rPr>
          <w:rFonts w:hAnsi="宋体"/>
          <w:szCs w:val="21"/>
        </w:rPr>
      </w:pPr>
      <w:bookmarkStart w:id="108" w:name="_Toc447265224"/>
      <w:bookmarkStart w:id="109" w:name="_Toc447265510"/>
      <w:bookmarkStart w:id="110" w:name="_Toc447188675"/>
      <w:r>
        <w:rPr>
          <w:rFonts w:hAnsi="宋体"/>
          <w:szCs w:val="21"/>
        </w:rPr>
        <w:t>1.7.1</w:t>
      </w:r>
      <w:r>
        <w:rPr>
          <w:rFonts w:hint="eastAsia" w:hAnsi="宋体"/>
          <w:szCs w:val="21"/>
        </w:rPr>
        <w:t>本招标项目资格审查方式见投标人须知前附表。</w:t>
      </w:r>
    </w:p>
    <w:p>
      <w:pPr>
        <w:pStyle w:val="21"/>
        <w:tabs>
          <w:tab w:val="left" w:pos="630"/>
        </w:tabs>
        <w:snapToGrid w:val="0"/>
        <w:spacing w:line="360" w:lineRule="auto"/>
        <w:ind w:firstLine="400" w:firstLineChars="200"/>
        <w:rPr>
          <w:rFonts w:hAnsi="宋体"/>
          <w:szCs w:val="21"/>
        </w:rPr>
      </w:pPr>
      <w:r>
        <w:rPr>
          <w:rFonts w:hAnsi="宋体"/>
          <w:szCs w:val="21"/>
        </w:rPr>
        <w:t>1.7.2</w:t>
      </w:r>
      <w:bookmarkStart w:id="111" w:name="_Toc226969283"/>
      <w:r>
        <w:rPr>
          <w:rFonts w:hint="eastAsia" w:hAnsi="宋体"/>
          <w:szCs w:val="21"/>
        </w:rPr>
        <w:t>资格后审是指在开标后由评标委员会根据招标文件的规定对投标人进行的资格审查。</w:t>
      </w:r>
      <w:bookmarkEnd w:id="111"/>
      <w:r>
        <w:rPr>
          <w:rFonts w:hint="eastAsia" w:hAnsi="宋体"/>
          <w:szCs w:val="21"/>
        </w:rPr>
        <w:t>采用资格后审方式的，投标人应当具备的资格条件见投标人须知前附表。</w:t>
      </w:r>
    </w:p>
    <w:p>
      <w:pPr>
        <w:spacing w:line="360" w:lineRule="auto"/>
        <w:outlineLvl w:val="2"/>
        <w:rPr>
          <w:rFonts w:ascii="宋体"/>
          <w:b/>
        </w:rPr>
      </w:pPr>
      <w:bookmarkStart w:id="112" w:name="_Toc8657476"/>
      <w:bookmarkStart w:id="113" w:name="_Toc26469"/>
      <w:bookmarkStart w:id="114" w:name="_Toc10210422"/>
      <w:r>
        <w:rPr>
          <w:rFonts w:ascii="宋体" w:hAnsi="宋体"/>
          <w:b/>
        </w:rPr>
        <w:t>1.8</w:t>
      </w:r>
      <w:r>
        <w:rPr>
          <w:rFonts w:hint="eastAsia" w:ascii="宋体" w:hAnsi="宋体"/>
          <w:b/>
        </w:rPr>
        <w:t>投标人不得存在的情形</w:t>
      </w:r>
      <w:bookmarkEnd w:id="108"/>
      <w:bookmarkEnd w:id="109"/>
      <w:bookmarkEnd w:id="110"/>
      <w:bookmarkEnd w:id="112"/>
      <w:bookmarkEnd w:id="113"/>
      <w:bookmarkEnd w:id="114"/>
    </w:p>
    <w:p>
      <w:pPr>
        <w:pStyle w:val="21"/>
        <w:tabs>
          <w:tab w:val="left" w:pos="630"/>
        </w:tabs>
        <w:snapToGrid w:val="0"/>
        <w:spacing w:line="360" w:lineRule="auto"/>
        <w:ind w:firstLine="400" w:firstLineChars="200"/>
        <w:rPr>
          <w:rFonts w:hAnsi="宋体"/>
          <w:szCs w:val="21"/>
        </w:rPr>
      </w:pPr>
      <w:r>
        <w:rPr>
          <w:rFonts w:hAnsi="宋体"/>
          <w:szCs w:val="21"/>
        </w:rPr>
        <w:t>1.8.1</w:t>
      </w:r>
      <w:r>
        <w:rPr>
          <w:rFonts w:hint="eastAsia" w:hAnsi="宋体"/>
          <w:szCs w:val="21"/>
        </w:rPr>
        <w:t>投标人不得存在的情形见投标人须知前附表。</w:t>
      </w:r>
    </w:p>
    <w:p>
      <w:pPr>
        <w:spacing w:line="360" w:lineRule="auto"/>
        <w:outlineLvl w:val="2"/>
        <w:rPr>
          <w:rFonts w:ascii="宋体"/>
          <w:b/>
        </w:rPr>
      </w:pPr>
      <w:bookmarkStart w:id="115" w:name="_Toc226969285"/>
      <w:bookmarkStart w:id="116" w:name="_Toc227057891"/>
      <w:bookmarkStart w:id="117" w:name="_Toc107822488"/>
      <w:bookmarkStart w:id="118" w:name="_Toc10210423"/>
      <w:bookmarkStart w:id="119" w:name="_Toc447265512"/>
      <w:bookmarkStart w:id="120" w:name="_Toc8657477"/>
      <w:bookmarkStart w:id="121" w:name="_Toc447265226"/>
      <w:bookmarkStart w:id="122" w:name="_Toc447188677"/>
      <w:bookmarkStart w:id="123" w:name="_Toc11530"/>
      <w:r>
        <w:rPr>
          <w:rFonts w:ascii="宋体" w:hAnsi="宋体"/>
          <w:b/>
        </w:rPr>
        <w:t>1.9</w:t>
      </w:r>
      <w:r>
        <w:rPr>
          <w:rFonts w:hint="eastAsia" w:ascii="宋体" w:hAnsi="宋体"/>
          <w:b/>
        </w:rPr>
        <w:t>投标费用</w:t>
      </w:r>
      <w:bookmarkEnd w:id="115"/>
      <w:bookmarkEnd w:id="116"/>
      <w:bookmarkEnd w:id="117"/>
      <w:bookmarkEnd w:id="118"/>
      <w:bookmarkEnd w:id="119"/>
      <w:bookmarkEnd w:id="120"/>
      <w:bookmarkEnd w:id="121"/>
      <w:bookmarkEnd w:id="122"/>
      <w:bookmarkEnd w:id="123"/>
    </w:p>
    <w:p>
      <w:pPr>
        <w:pStyle w:val="21"/>
        <w:tabs>
          <w:tab w:val="left" w:pos="630"/>
        </w:tabs>
        <w:snapToGrid w:val="0"/>
        <w:spacing w:line="360" w:lineRule="auto"/>
        <w:ind w:firstLine="400" w:firstLineChars="200"/>
        <w:rPr>
          <w:rFonts w:hAnsi="宋体"/>
          <w:szCs w:val="21"/>
        </w:rPr>
      </w:pPr>
      <w:r>
        <w:rPr>
          <w:rFonts w:hint="eastAsia" w:hAnsi="宋体"/>
          <w:szCs w:val="21"/>
        </w:rPr>
        <w:t>不论结果如何，投标人自行承担所有准备和参与投标有关的费用。</w:t>
      </w:r>
      <w:bookmarkStart w:id="124" w:name="_Toc107822489"/>
      <w:bookmarkStart w:id="125" w:name="_Toc226969286"/>
      <w:bookmarkStart w:id="126" w:name="_Toc227057892"/>
    </w:p>
    <w:p>
      <w:pPr>
        <w:spacing w:line="360" w:lineRule="auto"/>
        <w:outlineLvl w:val="2"/>
        <w:rPr>
          <w:rFonts w:ascii="宋体"/>
          <w:b/>
        </w:rPr>
      </w:pPr>
      <w:bookmarkStart w:id="127" w:name="_Toc447265513"/>
      <w:bookmarkStart w:id="128" w:name="_Toc8657478"/>
      <w:bookmarkStart w:id="129" w:name="_Toc447265227"/>
      <w:bookmarkStart w:id="130" w:name="_Toc19266"/>
      <w:bookmarkStart w:id="131" w:name="_Toc10210424"/>
      <w:r>
        <w:rPr>
          <w:rFonts w:ascii="宋体" w:hAnsi="宋体"/>
          <w:b/>
        </w:rPr>
        <w:t>1.10</w:t>
      </w:r>
      <w:r>
        <w:rPr>
          <w:rFonts w:hint="eastAsia" w:ascii="宋体" w:hAnsi="宋体"/>
          <w:b/>
        </w:rPr>
        <w:t>保密</w:t>
      </w:r>
      <w:bookmarkEnd w:id="127"/>
      <w:bookmarkEnd w:id="128"/>
      <w:bookmarkEnd w:id="129"/>
      <w:bookmarkEnd w:id="130"/>
      <w:bookmarkEnd w:id="131"/>
    </w:p>
    <w:p>
      <w:pPr>
        <w:pStyle w:val="21"/>
        <w:tabs>
          <w:tab w:val="left" w:pos="630"/>
        </w:tabs>
        <w:snapToGrid w:val="0"/>
        <w:spacing w:line="360" w:lineRule="auto"/>
        <w:ind w:firstLine="400" w:firstLineChars="200"/>
        <w:rPr>
          <w:rFonts w:hAnsi="宋体"/>
          <w:szCs w:val="21"/>
        </w:rPr>
      </w:pPr>
      <w:r>
        <w:rPr>
          <w:rFonts w:hint="eastAsia" w:hAnsi="宋体"/>
          <w:szCs w:val="21"/>
        </w:rPr>
        <w:t>参与招标投标活动的各方应当对招标文件和投标文件中的商业和技术等秘密保密，违者应当对由此造成的后果承担法律责任。</w:t>
      </w:r>
    </w:p>
    <w:p>
      <w:pPr>
        <w:spacing w:line="360" w:lineRule="auto"/>
        <w:outlineLvl w:val="1"/>
        <w:rPr>
          <w:rFonts w:ascii="宋体"/>
          <w:b/>
        </w:rPr>
      </w:pPr>
      <w:bookmarkStart w:id="132" w:name="_Toc246996930"/>
      <w:bookmarkStart w:id="133" w:name="_Toc6482"/>
      <w:bookmarkStart w:id="134" w:name="_Toc152045542"/>
      <w:bookmarkStart w:id="135" w:name="_Toc10210425"/>
      <w:bookmarkStart w:id="136" w:name="_Toc8657479"/>
      <w:bookmarkStart w:id="137" w:name="_Toc447265228"/>
      <w:bookmarkStart w:id="138" w:name="_Toc179632560"/>
      <w:bookmarkStart w:id="139" w:name="_Toc447188678"/>
      <w:bookmarkStart w:id="140" w:name="_Toc144974510"/>
      <w:bookmarkStart w:id="141" w:name="_Toc152042318"/>
      <w:bookmarkStart w:id="142" w:name="_Toc447265514"/>
      <w:bookmarkStart w:id="143" w:name="_Toc247085701"/>
      <w:bookmarkStart w:id="144" w:name="_Toc246996187"/>
      <w:bookmarkStart w:id="145" w:name="_Toc296602432"/>
      <w:r>
        <w:rPr>
          <w:rFonts w:ascii="宋体" w:hAnsi="宋体"/>
          <w:b/>
        </w:rPr>
        <w:t>2.</w:t>
      </w:r>
      <w:r>
        <w:rPr>
          <w:rFonts w:hint="eastAsia" w:ascii="宋体" w:hAnsi="宋体"/>
          <w:b/>
        </w:rPr>
        <w:t>招标文件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spacing w:line="360" w:lineRule="auto"/>
        <w:outlineLvl w:val="2"/>
        <w:rPr>
          <w:rFonts w:ascii="宋体"/>
          <w:b/>
        </w:rPr>
      </w:pPr>
      <w:bookmarkStart w:id="146" w:name="_Toc447188679"/>
      <w:bookmarkStart w:id="147" w:name="_Toc8657480"/>
      <w:bookmarkStart w:id="148" w:name="_Toc4712"/>
      <w:bookmarkStart w:id="149" w:name="_Toc447265515"/>
      <w:bookmarkStart w:id="150" w:name="_Toc447265229"/>
      <w:bookmarkStart w:id="151" w:name="_Toc10210426"/>
      <w:r>
        <w:rPr>
          <w:rFonts w:ascii="宋体" w:hAnsi="宋体"/>
          <w:b/>
        </w:rPr>
        <w:t>2.1</w:t>
      </w:r>
      <w:r>
        <w:rPr>
          <w:rFonts w:hint="eastAsia" w:ascii="宋体" w:hAnsi="宋体"/>
          <w:b/>
        </w:rPr>
        <w:t>招标文件</w:t>
      </w:r>
      <w:bookmarkEnd w:id="124"/>
      <w:r>
        <w:rPr>
          <w:rFonts w:hint="eastAsia" w:ascii="宋体" w:hAnsi="宋体"/>
          <w:b/>
        </w:rPr>
        <w:t>的组成</w:t>
      </w:r>
      <w:bookmarkEnd w:id="125"/>
      <w:bookmarkEnd w:id="126"/>
      <w:bookmarkEnd w:id="146"/>
      <w:bookmarkEnd w:id="147"/>
      <w:bookmarkEnd w:id="148"/>
      <w:bookmarkEnd w:id="149"/>
      <w:bookmarkEnd w:id="150"/>
      <w:bookmarkEnd w:id="151"/>
    </w:p>
    <w:p>
      <w:pPr>
        <w:pStyle w:val="21"/>
        <w:tabs>
          <w:tab w:val="left" w:pos="630"/>
        </w:tabs>
        <w:snapToGrid w:val="0"/>
        <w:spacing w:line="360" w:lineRule="auto"/>
        <w:ind w:firstLine="400" w:firstLineChars="200"/>
        <w:rPr>
          <w:rFonts w:hAnsi="宋体"/>
          <w:szCs w:val="21"/>
        </w:rPr>
      </w:pPr>
      <w:r>
        <w:rPr>
          <w:rFonts w:hAnsi="宋体"/>
          <w:szCs w:val="21"/>
        </w:rPr>
        <w:t>2.1.1</w:t>
      </w:r>
      <w:r>
        <w:rPr>
          <w:rFonts w:hint="eastAsia" w:hAnsi="宋体"/>
          <w:szCs w:val="21"/>
        </w:rPr>
        <w:t>招标文件一般由以下部分组成：</w:t>
      </w:r>
    </w:p>
    <w:p>
      <w:pPr>
        <w:pStyle w:val="21"/>
        <w:tabs>
          <w:tab w:val="left" w:pos="630"/>
        </w:tabs>
        <w:snapToGrid w:val="0"/>
        <w:spacing w:line="360" w:lineRule="auto"/>
        <w:ind w:firstLine="400" w:firstLineChars="200"/>
        <w:rPr>
          <w:rFonts w:hAnsi="宋体"/>
          <w:szCs w:val="21"/>
        </w:rPr>
      </w:pPr>
      <w:r>
        <w:rPr>
          <w:rFonts w:hint="eastAsia" w:hAnsi="宋体"/>
          <w:szCs w:val="21"/>
        </w:rPr>
        <w:t>第一章</w:t>
      </w:r>
      <w:r>
        <w:rPr>
          <w:rFonts w:hAnsi="宋体"/>
          <w:szCs w:val="21"/>
        </w:rPr>
        <w:t xml:space="preserve"> </w:t>
      </w:r>
      <w:r>
        <w:rPr>
          <w:rFonts w:hint="eastAsia" w:hAnsi="宋体"/>
          <w:szCs w:val="21"/>
        </w:rPr>
        <w:t>招标公告</w:t>
      </w:r>
    </w:p>
    <w:p>
      <w:pPr>
        <w:pStyle w:val="21"/>
        <w:tabs>
          <w:tab w:val="left" w:pos="630"/>
        </w:tabs>
        <w:snapToGrid w:val="0"/>
        <w:spacing w:line="360" w:lineRule="auto"/>
        <w:ind w:firstLine="400" w:firstLineChars="200"/>
        <w:rPr>
          <w:rFonts w:hAnsi="宋体"/>
          <w:szCs w:val="21"/>
        </w:rPr>
      </w:pPr>
      <w:r>
        <w:rPr>
          <w:rFonts w:hint="eastAsia" w:hAnsi="宋体"/>
          <w:szCs w:val="21"/>
        </w:rPr>
        <w:t>第二章</w:t>
      </w:r>
      <w:r>
        <w:rPr>
          <w:rFonts w:hAnsi="宋体"/>
          <w:szCs w:val="21"/>
        </w:rPr>
        <w:t xml:space="preserve"> </w:t>
      </w:r>
      <w:r>
        <w:rPr>
          <w:rFonts w:hint="eastAsia" w:hAnsi="宋体"/>
          <w:szCs w:val="21"/>
        </w:rPr>
        <w:t>投标人须知</w:t>
      </w:r>
    </w:p>
    <w:p>
      <w:pPr>
        <w:pStyle w:val="21"/>
        <w:tabs>
          <w:tab w:val="left" w:pos="630"/>
        </w:tabs>
        <w:snapToGrid w:val="0"/>
        <w:spacing w:line="360" w:lineRule="auto"/>
        <w:ind w:firstLine="400" w:firstLineChars="200"/>
        <w:rPr>
          <w:rFonts w:hAnsi="宋体"/>
          <w:szCs w:val="21"/>
        </w:rPr>
      </w:pPr>
      <w:r>
        <w:rPr>
          <w:rFonts w:hint="eastAsia" w:hAnsi="宋体"/>
          <w:szCs w:val="21"/>
        </w:rPr>
        <w:t>第三章</w:t>
      </w:r>
      <w:r>
        <w:rPr>
          <w:rFonts w:hAnsi="宋体"/>
          <w:szCs w:val="21"/>
        </w:rPr>
        <w:t xml:space="preserve"> </w:t>
      </w:r>
      <w:r>
        <w:rPr>
          <w:rFonts w:hint="eastAsia" w:hAnsi="宋体"/>
          <w:szCs w:val="21"/>
        </w:rPr>
        <w:t>评标办法（综合评标法）</w:t>
      </w:r>
    </w:p>
    <w:p>
      <w:pPr>
        <w:pStyle w:val="21"/>
        <w:tabs>
          <w:tab w:val="left" w:pos="630"/>
        </w:tabs>
        <w:snapToGrid w:val="0"/>
        <w:spacing w:line="360" w:lineRule="auto"/>
        <w:ind w:firstLine="400" w:firstLineChars="200"/>
        <w:rPr>
          <w:rFonts w:hAnsi="宋体"/>
          <w:szCs w:val="21"/>
        </w:rPr>
      </w:pPr>
      <w:r>
        <w:rPr>
          <w:rFonts w:hint="eastAsia" w:hAnsi="宋体"/>
          <w:szCs w:val="21"/>
        </w:rPr>
        <w:t>第四章</w:t>
      </w:r>
      <w:r>
        <w:rPr>
          <w:rFonts w:hAnsi="宋体"/>
          <w:szCs w:val="21"/>
        </w:rPr>
        <w:t xml:space="preserve"> </w:t>
      </w:r>
      <w:r>
        <w:rPr>
          <w:rFonts w:hint="eastAsia" w:hAnsi="宋体"/>
          <w:szCs w:val="21"/>
        </w:rPr>
        <w:t>招标人服务需求</w:t>
      </w:r>
    </w:p>
    <w:p>
      <w:pPr>
        <w:pStyle w:val="21"/>
        <w:tabs>
          <w:tab w:val="left" w:pos="630"/>
        </w:tabs>
        <w:snapToGrid w:val="0"/>
        <w:spacing w:line="360" w:lineRule="auto"/>
        <w:ind w:firstLine="400" w:firstLineChars="200"/>
        <w:rPr>
          <w:rFonts w:hAnsi="宋体"/>
          <w:szCs w:val="21"/>
        </w:rPr>
      </w:pPr>
      <w:r>
        <w:rPr>
          <w:rFonts w:hint="eastAsia" w:hAnsi="宋体"/>
          <w:szCs w:val="21"/>
        </w:rPr>
        <w:t>第五章</w:t>
      </w:r>
      <w:r>
        <w:rPr>
          <w:rFonts w:hAnsi="宋体"/>
          <w:szCs w:val="21"/>
        </w:rPr>
        <w:t xml:space="preserve"> </w:t>
      </w:r>
      <w:r>
        <w:rPr>
          <w:rFonts w:hint="eastAsia" w:hAnsi="宋体"/>
          <w:szCs w:val="21"/>
        </w:rPr>
        <w:t>合同条款</w:t>
      </w:r>
    </w:p>
    <w:p>
      <w:pPr>
        <w:pStyle w:val="21"/>
        <w:tabs>
          <w:tab w:val="left" w:pos="630"/>
        </w:tabs>
        <w:snapToGrid w:val="0"/>
        <w:spacing w:line="360" w:lineRule="auto"/>
        <w:ind w:firstLine="400" w:firstLineChars="200"/>
        <w:rPr>
          <w:rFonts w:hAnsi="宋体"/>
          <w:szCs w:val="21"/>
        </w:rPr>
      </w:pPr>
      <w:r>
        <w:rPr>
          <w:rFonts w:hint="eastAsia" w:hAnsi="宋体"/>
          <w:szCs w:val="21"/>
        </w:rPr>
        <w:t>第六章</w:t>
      </w:r>
      <w:r>
        <w:rPr>
          <w:rFonts w:hAnsi="宋体"/>
          <w:szCs w:val="21"/>
        </w:rPr>
        <w:t xml:space="preserve"> </w:t>
      </w:r>
      <w:r>
        <w:rPr>
          <w:rFonts w:hint="eastAsia" w:hAnsi="宋体"/>
          <w:szCs w:val="21"/>
        </w:rPr>
        <w:t>投标文件格式</w:t>
      </w:r>
    </w:p>
    <w:p>
      <w:pPr>
        <w:pStyle w:val="21"/>
        <w:tabs>
          <w:tab w:val="left" w:pos="630"/>
        </w:tabs>
        <w:snapToGrid w:val="0"/>
        <w:spacing w:line="360" w:lineRule="auto"/>
        <w:ind w:firstLine="400" w:firstLineChars="200"/>
        <w:rPr>
          <w:rFonts w:hAnsi="宋体"/>
          <w:szCs w:val="21"/>
        </w:rPr>
      </w:pPr>
      <w:r>
        <w:rPr>
          <w:rFonts w:hAnsi="宋体"/>
          <w:szCs w:val="21"/>
        </w:rPr>
        <w:t>2.1.2</w:t>
      </w:r>
      <w:r>
        <w:rPr>
          <w:rFonts w:hint="eastAsia" w:hAnsi="宋体"/>
          <w:szCs w:val="21"/>
        </w:rPr>
        <w:t>招标文件对同一内容的表述应当一致。第一章</w:t>
      </w:r>
      <w:r>
        <w:rPr>
          <w:rFonts w:hAnsi="宋体"/>
          <w:szCs w:val="21"/>
        </w:rPr>
        <w:t xml:space="preserve"> </w:t>
      </w:r>
      <w:r>
        <w:rPr>
          <w:rFonts w:hint="eastAsia" w:hAnsi="宋体"/>
          <w:szCs w:val="21"/>
        </w:rPr>
        <w:t>招标公告与招标文件在同一内容的表述上有矛盾或者冲突时，以第一章</w:t>
      </w:r>
      <w:r>
        <w:rPr>
          <w:rFonts w:hAnsi="宋体"/>
          <w:szCs w:val="21"/>
        </w:rPr>
        <w:t xml:space="preserve"> </w:t>
      </w:r>
      <w:r>
        <w:rPr>
          <w:rFonts w:hint="eastAsia" w:hAnsi="宋体"/>
          <w:szCs w:val="21"/>
        </w:rPr>
        <w:t>招标公告为准；投标人须知前附表与投标人须知正文在同一内容的表述上有矛盾或者冲突时，以投标人须知前附表为准。</w:t>
      </w:r>
    </w:p>
    <w:p>
      <w:pPr>
        <w:spacing w:line="360" w:lineRule="auto"/>
        <w:outlineLvl w:val="2"/>
        <w:rPr>
          <w:rFonts w:ascii="宋体"/>
          <w:b/>
        </w:rPr>
      </w:pPr>
      <w:bookmarkStart w:id="152" w:name="_Toc107822490"/>
      <w:bookmarkStart w:id="153" w:name="_Toc226969287"/>
      <w:bookmarkStart w:id="154" w:name="_Toc227057893"/>
      <w:bookmarkStart w:id="155" w:name="_Toc10210429"/>
      <w:bookmarkStart w:id="156" w:name="_Toc447188682"/>
      <w:bookmarkStart w:id="157" w:name="_Toc447265232"/>
      <w:bookmarkStart w:id="158" w:name="_Toc447265518"/>
      <w:bookmarkStart w:id="159" w:name="_Toc8657483"/>
      <w:bookmarkStart w:id="160" w:name="_Toc9474"/>
      <w:r>
        <w:rPr>
          <w:rFonts w:ascii="宋体" w:hAnsi="宋体"/>
          <w:b/>
        </w:rPr>
        <w:t>2.2</w:t>
      </w:r>
      <w:r>
        <w:rPr>
          <w:rFonts w:hint="eastAsia" w:ascii="宋体" w:hAnsi="宋体"/>
          <w:b/>
        </w:rPr>
        <w:t>招标文件的澄清</w:t>
      </w:r>
      <w:bookmarkEnd w:id="152"/>
      <w:bookmarkEnd w:id="153"/>
      <w:bookmarkEnd w:id="154"/>
      <w:r>
        <w:rPr>
          <w:rFonts w:hint="eastAsia" w:ascii="宋体" w:hAnsi="宋体"/>
          <w:b/>
        </w:rPr>
        <w:t>和修改</w:t>
      </w:r>
      <w:bookmarkEnd w:id="155"/>
      <w:bookmarkEnd w:id="156"/>
      <w:bookmarkEnd w:id="157"/>
      <w:bookmarkEnd w:id="158"/>
      <w:bookmarkEnd w:id="159"/>
      <w:bookmarkEnd w:id="160"/>
    </w:p>
    <w:p>
      <w:pPr>
        <w:pStyle w:val="21"/>
        <w:tabs>
          <w:tab w:val="left" w:pos="630"/>
        </w:tabs>
        <w:snapToGrid w:val="0"/>
        <w:spacing w:line="360" w:lineRule="auto"/>
        <w:ind w:firstLine="400" w:firstLineChars="200"/>
        <w:rPr>
          <w:rFonts w:hAnsi="宋体"/>
          <w:szCs w:val="21"/>
        </w:rPr>
      </w:pPr>
      <w:bookmarkStart w:id="161" w:name="_Toc447265233"/>
      <w:bookmarkStart w:id="162" w:name="_Toc247085705"/>
      <w:bookmarkStart w:id="163" w:name="_Toc152042322"/>
      <w:bookmarkStart w:id="164" w:name="_Toc144974514"/>
      <w:bookmarkStart w:id="165" w:name="_Toc447265519"/>
      <w:bookmarkStart w:id="166" w:name="_Toc447188683"/>
      <w:bookmarkStart w:id="167" w:name="_Toc179632564"/>
      <w:bookmarkStart w:id="168" w:name="_Toc296602436"/>
      <w:bookmarkStart w:id="169" w:name="_Toc152045546"/>
      <w:bookmarkStart w:id="170" w:name="_Toc246996191"/>
      <w:bookmarkStart w:id="171" w:name="_Toc246996934"/>
      <w:bookmarkStart w:id="172" w:name="_Toc227057895"/>
      <w:bookmarkStart w:id="173" w:name="_Toc107822492"/>
      <w:bookmarkStart w:id="174" w:name="_Toc226969289"/>
      <w:r>
        <w:rPr>
          <w:rFonts w:hAnsi="宋体"/>
          <w:szCs w:val="21"/>
        </w:rPr>
        <w:t>2.2.1</w:t>
      </w:r>
      <w:r>
        <w:rPr>
          <w:rFonts w:hint="eastAsia" w:hAnsi="宋体"/>
          <w:szCs w:val="21"/>
        </w:rPr>
        <w:t>投标人对招标文件有疑问的，应当按照投标人须知前附表规定的时间和方式，要求招标人对招标文件进行澄清。</w:t>
      </w:r>
    </w:p>
    <w:p>
      <w:pPr>
        <w:pStyle w:val="21"/>
        <w:tabs>
          <w:tab w:val="left" w:pos="630"/>
        </w:tabs>
        <w:snapToGrid w:val="0"/>
        <w:spacing w:line="360" w:lineRule="auto"/>
        <w:ind w:firstLine="400" w:firstLineChars="200"/>
        <w:rPr>
          <w:rFonts w:hAnsi="宋体"/>
          <w:szCs w:val="21"/>
        </w:rPr>
      </w:pPr>
      <w:r>
        <w:rPr>
          <w:rFonts w:hAnsi="宋体"/>
          <w:szCs w:val="21"/>
        </w:rPr>
        <w:t>2.2.2</w:t>
      </w:r>
      <w:r>
        <w:rPr>
          <w:rFonts w:hint="eastAsia" w:hAnsi="宋体"/>
          <w:szCs w:val="21"/>
        </w:rPr>
        <w:t>招标人应当按照投标人须知前附表规定的时间和方式，将澄清或者修改内容发给所有购买招标文件的投标人，但不指明问题的来源。</w:t>
      </w:r>
    </w:p>
    <w:p>
      <w:pPr>
        <w:pStyle w:val="21"/>
        <w:tabs>
          <w:tab w:val="left" w:pos="630"/>
        </w:tabs>
        <w:snapToGrid w:val="0"/>
        <w:spacing w:line="360" w:lineRule="auto"/>
        <w:ind w:firstLine="400" w:firstLineChars="200"/>
        <w:rPr>
          <w:rFonts w:hAnsi="宋体"/>
          <w:szCs w:val="21"/>
        </w:rPr>
      </w:pPr>
      <w:r>
        <w:rPr>
          <w:rFonts w:hAnsi="宋体"/>
          <w:szCs w:val="21"/>
        </w:rPr>
        <w:t>2.2.3</w:t>
      </w:r>
      <w:r>
        <w:rPr>
          <w:rFonts w:hint="eastAsia" w:hAnsi="宋体"/>
          <w:szCs w:val="21"/>
        </w:rPr>
        <w:t>如澄清或者修改的内容可能影响投标文件编制的，应当在递交投标文件截止时间至少</w:t>
      </w:r>
      <w:r>
        <w:rPr>
          <w:rFonts w:hAnsi="宋体"/>
          <w:szCs w:val="21"/>
        </w:rPr>
        <w:t>15</w:t>
      </w:r>
      <w:r>
        <w:rPr>
          <w:rFonts w:hint="eastAsia" w:hAnsi="宋体"/>
          <w:szCs w:val="21"/>
        </w:rPr>
        <w:t>日前发出，不足</w:t>
      </w:r>
      <w:r>
        <w:rPr>
          <w:rFonts w:hAnsi="宋体"/>
          <w:szCs w:val="21"/>
        </w:rPr>
        <w:t>15</w:t>
      </w:r>
      <w:r>
        <w:rPr>
          <w:rFonts w:hint="eastAsia" w:hAnsi="宋体"/>
          <w:szCs w:val="21"/>
        </w:rPr>
        <w:t>日的，招标人应当相应顺延投标截止时间。</w:t>
      </w:r>
    </w:p>
    <w:p>
      <w:pPr>
        <w:pStyle w:val="21"/>
        <w:tabs>
          <w:tab w:val="left" w:pos="630"/>
        </w:tabs>
        <w:snapToGrid w:val="0"/>
        <w:spacing w:line="360" w:lineRule="auto"/>
        <w:ind w:firstLine="400" w:firstLineChars="200"/>
        <w:rPr>
          <w:rFonts w:hAnsi="宋体"/>
          <w:szCs w:val="21"/>
        </w:rPr>
      </w:pPr>
      <w:r>
        <w:rPr>
          <w:rFonts w:hAnsi="宋体"/>
          <w:szCs w:val="21"/>
        </w:rPr>
        <w:t>2.2.4</w:t>
      </w:r>
      <w:r>
        <w:rPr>
          <w:rFonts w:hint="eastAsia" w:hAnsi="宋体"/>
          <w:szCs w:val="21"/>
        </w:rPr>
        <w:t>投标人收到澄清或者修改后，应当通知招标人，确认已收到该澄清或者修改。</w:t>
      </w:r>
    </w:p>
    <w:p>
      <w:pPr>
        <w:pStyle w:val="21"/>
        <w:tabs>
          <w:tab w:val="left" w:pos="630"/>
        </w:tabs>
        <w:snapToGrid w:val="0"/>
        <w:spacing w:line="360" w:lineRule="auto"/>
        <w:ind w:firstLine="400" w:firstLineChars="200"/>
        <w:rPr>
          <w:rFonts w:hAnsi="宋体"/>
          <w:szCs w:val="21"/>
        </w:rPr>
      </w:pPr>
      <w:r>
        <w:rPr>
          <w:rFonts w:hAnsi="宋体"/>
          <w:szCs w:val="21"/>
        </w:rPr>
        <w:t>2.2.5</w:t>
      </w:r>
      <w:r>
        <w:rPr>
          <w:rFonts w:hint="eastAsia" w:hAnsi="宋体"/>
          <w:szCs w:val="21"/>
        </w:rPr>
        <w:t>所有关于招标文件的澄清和修改均作为招标文件的补充部分。当招标文件、招标文件的澄清或者修改等在同一内容的表述上不一致时，以最后发出的书面文件为准。</w:t>
      </w:r>
    </w:p>
    <w:p>
      <w:pPr>
        <w:spacing w:line="360" w:lineRule="auto"/>
        <w:outlineLvl w:val="1"/>
        <w:rPr>
          <w:rFonts w:ascii="宋体"/>
          <w:b/>
        </w:rPr>
      </w:pPr>
      <w:bookmarkStart w:id="175" w:name="_Toc15500"/>
      <w:bookmarkStart w:id="176" w:name="_Toc8657484"/>
      <w:bookmarkStart w:id="177" w:name="_Toc10210430"/>
      <w:r>
        <w:rPr>
          <w:rFonts w:ascii="宋体" w:hAnsi="宋体"/>
          <w:b/>
        </w:rPr>
        <w:t>3.</w:t>
      </w:r>
      <w:r>
        <w:rPr>
          <w:rFonts w:hint="eastAsia" w:ascii="宋体" w:hAnsi="宋体"/>
          <w:b/>
        </w:rPr>
        <w:t>投标文件</w:t>
      </w:r>
      <w:bookmarkEnd w:id="161"/>
      <w:bookmarkEnd w:id="162"/>
      <w:bookmarkEnd w:id="163"/>
      <w:bookmarkEnd w:id="164"/>
      <w:bookmarkEnd w:id="165"/>
      <w:bookmarkEnd w:id="166"/>
      <w:bookmarkEnd w:id="167"/>
      <w:bookmarkEnd w:id="168"/>
      <w:bookmarkEnd w:id="169"/>
      <w:bookmarkEnd w:id="170"/>
      <w:bookmarkEnd w:id="171"/>
      <w:bookmarkEnd w:id="175"/>
      <w:bookmarkEnd w:id="176"/>
      <w:bookmarkEnd w:id="177"/>
    </w:p>
    <w:bookmarkEnd w:id="48"/>
    <w:bookmarkEnd w:id="172"/>
    <w:bookmarkEnd w:id="173"/>
    <w:bookmarkEnd w:id="174"/>
    <w:p>
      <w:pPr>
        <w:spacing w:line="360" w:lineRule="auto"/>
        <w:outlineLvl w:val="2"/>
        <w:rPr>
          <w:rFonts w:ascii="宋体"/>
          <w:b/>
        </w:rPr>
      </w:pPr>
      <w:bookmarkStart w:id="178" w:name="_Toc227057896"/>
      <w:bookmarkStart w:id="179" w:name="_Toc107822493"/>
      <w:bookmarkStart w:id="180" w:name="_Toc226969290"/>
      <w:bookmarkStart w:id="181" w:name="_Toc27929"/>
      <w:bookmarkStart w:id="182" w:name="_Toc447265520"/>
      <w:bookmarkStart w:id="183" w:name="_Toc10210431"/>
      <w:bookmarkStart w:id="184" w:name="_Toc450489293"/>
      <w:bookmarkStart w:id="185" w:name="_Toc447188684"/>
      <w:bookmarkStart w:id="186" w:name="_Toc447265234"/>
      <w:bookmarkStart w:id="187" w:name="_Toc8657485"/>
      <w:bookmarkStart w:id="188" w:name="_Toc184635074"/>
      <w:bookmarkStart w:id="189" w:name="_Toc447265528"/>
      <w:bookmarkStart w:id="190" w:name="_Toc447265242"/>
      <w:bookmarkStart w:id="191" w:name="_Toc107822503"/>
      <w:bookmarkStart w:id="192" w:name="_Toc488655848"/>
      <w:bookmarkStart w:id="193" w:name="_Toc227057906"/>
      <w:bookmarkStart w:id="194" w:name="_Toc226969300"/>
      <w:r>
        <w:rPr>
          <w:rFonts w:ascii="宋体" w:hAnsi="宋体"/>
          <w:b/>
        </w:rPr>
        <w:t>3.1</w:t>
      </w:r>
      <w:r>
        <w:rPr>
          <w:rFonts w:hint="eastAsia" w:ascii="宋体" w:hAnsi="宋体"/>
          <w:b/>
        </w:rPr>
        <w:t>投标文件的</w:t>
      </w:r>
      <w:bookmarkEnd w:id="178"/>
      <w:bookmarkEnd w:id="179"/>
      <w:bookmarkEnd w:id="180"/>
      <w:r>
        <w:rPr>
          <w:rFonts w:hint="eastAsia" w:ascii="宋体" w:hAnsi="宋体"/>
          <w:b/>
        </w:rPr>
        <w:t>组成</w:t>
      </w:r>
      <w:bookmarkEnd w:id="181"/>
      <w:bookmarkEnd w:id="182"/>
      <w:bookmarkEnd w:id="183"/>
      <w:bookmarkEnd w:id="184"/>
      <w:bookmarkEnd w:id="185"/>
      <w:bookmarkEnd w:id="186"/>
      <w:bookmarkEnd w:id="187"/>
    </w:p>
    <w:p>
      <w:pPr>
        <w:pStyle w:val="21"/>
        <w:tabs>
          <w:tab w:val="left" w:pos="630"/>
        </w:tabs>
        <w:snapToGrid w:val="0"/>
        <w:spacing w:line="360" w:lineRule="auto"/>
        <w:ind w:firstLine="400" w:firstLineChars="200"/>
        <w:rPr>
          <w:rFonts w:hAnsi="宋体"/>
          <w:szCs w:val="21"/>
        </w:rPr>
      </w:pPr>
      <w:r>
        <w:rPr>
          <w:rFonts w:hint="eastAsia" w:hAnsi="宋体"/>
          <w:szCs w:val="21"/>
        </w:rPr>
        <w:t>投标人应当按照投标人须知前附表的要求制作并递交投标文件。投标文件组成见第六章</w:t>
      </w:r>
      <w:r>
        <w:rPr>
          <w:rFonts w:hAnsi="宋体"/>
          <w:szCs w:val="21"/>
        </w:rPr>
        <w:t xml:space="preserve"> </w:t>
      </w:r>
      <w:r>
        <w:rPr>
          <w:rFonts w:hint="eastAsia" w:hAnsi="宋体"/>
          <w:szCs w:val="21"/>
        </w:rPr>
        <w:t>投标文件格式。</w:t>
      </w:r>
    </w:p>
    <w:p>
      <w:pPr>
        <w:spacing w:line="360" w:lineRule="auto"/>
        <w:outlineLvl w:val="2"/>
        <w:rPr>
          <w:rFonts w:ascii="宋体"/>
          <w:b/>
        </w:rPr>
      </w:pPr>
      <w:bookmarkStart w:id="195" w:name="_Toc450489294"/>
      <w:bookmarkStart w:id="196" w:name="_Toc10210432"/>
      <w:bookmarkStart w:id="197" w:name="_Toc447188685"/>
      <w:bookmarkStart w:id="198" w:name="_Toc8657486"/>
      <w:bookmarkStart w:id="199" w:name="_Toc447265235"/>
      <w:bookmarkStart w:id="200" w:name="_Toc447265521"/>
      <w:bookmarkStart w:id="201" w:name="_Toc1639"/>
      <w:r>
        <w:rPr>
          <w:rFonts w:ascii="宋体" w:hAnsi="宋体"/>
          <w:b/>
        </w:rPr>
        <w:t>3.2</w:t>
      </w:r>
      <w:r>
        <w:rPr>
          <w:rFonts w:hint="eastAsia" w:ascii="宋体" w:hAnsi="宋体"/>
          <w:b/>
        </w:rPr>
        <w:t>投标文件的编制</w:t>
      </w:r>
      <w:bookmarkEnd w:id="195"/>
      <w:bookmarkEnd w:id="196"/>
      <w:bookmarkEnd w:id="197"/>
      <w:bookmarkEnd w:id="198"/>
      <w:bookmarkEnd w:id="199"/>
      <w:bookmarkEnd w:id="200"/>
      <w:bookmarkEnd w:id="201"/>
    </w:p>
    <w:p>
      <w:pPr>
        <w:pStyle w:val="21"/>
        <w:tabs>
          <w:tab w:val="left" w:pos="630"/>
        </w:tabs>
        <w:snapToGrid w:val="0"/>
        <w:spacing w:line="360" w:lineRule="auto"/>
        <w:ind w:firstLine="400" w:firstLineChars="200"/>
        <w:rPr>
          <w:rFonts w:hAnsi="宋体"/>
          <w:szCs w:val="21"/>
        </w:rPr>
      </w:pPr>
      <w:r>
        <w:rPr>
          <w:rFonts w:hAnsi="宋体"/>
          <w:szCs w:val="21"/>
        </w:rPr>
        <w:t>3.2.1</w:t>
      </w:r>
      <w:r>
        <w:rPr>
          <w:rFonts w:hint="eastAsia" w:hAnsi="宋体"/>
          <w:szCs w:val="21"/>
        </w:rPr>
        <w:t>投标人应当按照招标文件的要求编制投标文件，投标文件应当对招标文件提出的实质性要求和条件做出响应。</w:t>
      </w:r>
    </w:p>
    <w:p>
      <w:pPr>
        <w:pStyle w:val="21"/>
        <w:tabs>
          <w:tab w:val="left" w:pos="630"/>
        </w:tabs>
        <w:snapToGrid w:val="0"/>
        <w:spacing w:line="360" w:lineRule="auto"/>
        <w:ind w:firstLine="400" w:firstLineChars="200"/>
        <w:rPr>
          <w:rFonts w:hAnsi="宋体"/>
          <w:szCs w:val="21"/>
        </w:rPr>
      </w:pPr>
      <w:r>
        <w:rPr>
          <w:rFonts w:hAnsi="宋体"/>
          <w:szCs w:val="21"/>
        </w:rPr>
        <w:t>3.2.2</w:t>
      </w:r>
      <w:r>
        <w:rPr>
          <w:rFonts w:hint="eastAsia" w:hAnsi="宋体"/>
          <w:szCs w:val="21"/>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p>
      <w:pPr>
        <w:pStyle w:val="21"/>
        <w:tabs>
          <w:tab w:val="left" w:pos="630"/>
        </w:tabs>
        <w:snapToGrid w:val="0"/>
        <w:spacing w:line="360" w:lineRule="auto"/>
        <w:ind w:firstLine="400" w:firstLineChars="200"/>
        <w:rPr>
          <w:rFonts w:hAnsi="宋体"/>
          <w:szCs w:val="21"/>
        </w:rPr>
      </w:pPr>
      <w:r>
        <w:rPr>
          <w:rFonts w:hAnsi="宋体"/>
          <w:szCs w:val="21"/>
        </w:rPr>
        <w:t>3.2.3</w:t>
      </w:r>
      <w:r>
        <w:rPr>
          <w:rFonts w:hint="eastAsia" w:hAnsi="宋体"/>
          <w:szCs w:val="21"/>
        </w:rPr>
        <w:t>投标人递交的投标文件以及投标人与招标人就有关投标的所有往来函电均应当使用中文。投标人递交的证明文件和文献可以使用另一种语言，但相应内容应当译成中文，在解释投标文件时以中文译本为准。</w:t>
      </w:r>
    </w:p>
    <w:p>
      <w:pPr>
        <w:pStyle w:val="21"/>
        <w:tabs>
          <w:tab w:val="left" w:pos="630"/>
        </w:tabs>
        <w:snapToGrid w:val="0"/>
        <w:spacing w:line="360" w:lineRule="auto"/>
        <w:ind w:firstLine="404" w:firstLineChars="202"/>
        <w:rPr>
          <w:rFonts w:hint="eastAsia" w:hAnsi="宋体"/>
          <w:szCs w:val="21"/>
        </w:rPr>
      </w:pPr>
      <w:r>
        <w:rPr>
          <w:rFonts w:hAnsi="宋体"/>
          <w:szCs w:val="21"/>
        </w:rPr>
        <w:t>3.2.4</w:t>
      </w:r>
      <w:r>
        <w:rPr>
          <w:rFonts w:hint="eastAsia" w:hAnsi="宋体"/>
          <w:szCs w:val="21"/>
        </w:rPr>
        <w:t>投标文件应当使用不褪色的材料书写或者打印，并加盖单位公章，由投标人的法定代表人或者其委托代理人签字或盖章的，投标文件应当附</w:t>
      </w:r>
      <w:r>
        <w:rPr>
          <w:rFonts w:hint="eastAsia" w:hAnsi="宋体"/>
        </w:rPr>
        <w:t>《法定代表人身份证明》和</w:t>
      </w:r>
      <w:r>
        <w:rPr>
          <w:rFonts w:hint="eastAsia" w:hAnsi="宋体"/>
          <w:szCs w:val="21"/>
        </w:rPr>
        <w:t>法定代表人签署的《法定代表人授权委托书》。投标文件应当尽量避免涂改、行间插字或者删除。如果出现上述情况，改动之处应当加盖单位公章或者由投标人的法定代表人或者其委托代理人签字确认。</w:t>
      </w:r>
    </w:p>
    <w:p>
      <w:pPr>
        <w:spacing w:line="360" w:lineRule="auto"/>
        <w:outlineLvl w:val="2"/>
        <w:rPr>
          <w:rFonts w:ascii="宋体"/>
          <w:b/>
        </w:rPr>
      </w:pPr>
      <w:bookmarkStart w:id="202" w:name="_Toc10210433"/>
      <w:bookmarkStart w:id="203" w:name="_Toc226969292"/>
      <w:bookmarkStart w:id="204" w:name="_Toc450489295"/>
      <w:bookmarkStart w:id="205" w:name="_Toc447188686"/>
      <w:bookmarkStart w:id="206" w:name="_Toc8657487"/>
      <w:bookmarkStart w:id="207" w:name="_Toc227057898"/>
      <w:bookmarkStart w:id="208" w:name="_Toc18512"/>
      <w:bookmarkStart w:id="209" w:name="_Toc447265522"/>
      <w:bookmarkStart w:id="210" w:name="_Toc107822495"/>
      <w:bookmarkStart w:id="211" w:name="_Toc447265236"/>
      <w:r>
        <w:rPr>
          <w:rFonts w:ascii="宋体" w:hAnsi="宋体"/>
          <w:b/>
        </w:rPr>
        <w:t>3.3</w:t>
      </w:r>
      <w:r>
        <w:rPr>
          <w:rFonts w:hint="eastAsia" w:ascii="宋体" w:hAnsi="宋体"/>
          <w:b/>
        </w:rPr>
        <w:t>投标报价</w:t>
      </w:r>
      <w:bookmarkEnd w:id="202"/>
      <w:bookmarkEnd w:id="203"/>
      <w:bookmarkEnd w:id="204"/>
      <w:bookmarkEnd w:id="205"/>
      <w:bookmarkEnd w:id="206"/>
      <w:bookmarkEnd w:id="207"/>
      <w:bookmarkEnd w:id="208"/>
      <w:bookmarkEnd w:id="209"/>
      <w:bookmarkEnd w:id="210"/>
      <w:bookmarkEnd w:id="211"/>
    </w:p>
    <w:p>
      <w:pPr>
        <w:pStyle w:val="21"/>
        <w:tabs>
          <w:tab w:val="left" w:pos="630"/>
        </w:tabs>
        <w:snapToGrid w:val="0"/>
        <w:spacing w:line="360" w:lineRule="auto"/>
        <w:ind w:firstLine="400" w:firstLineChars="200"/>
        <w:rPr>
          <w:rFonts w:hAnsi="宋体"/>
          <w:szCs w:val="21"/>
        </w:rPr>
      </w:pPr>
      <w:r>
        <w:rPr>
          <w:rFonts w:hAnsi="宋体"/>
          <w:szCs w:val="21"/>
        </w:rPr>
        <w:t>3.3.1</w:t>
      </w:r>
      <w:r>
        <w:rPr>
          <w:rFonts w:hint="eastAsia" w:hAnsi="宋体"/>
          <w:szCs w:val="21"/>
        </w:rPr>
        <w:t>投标人应当根据招标文件要求进行报价，投标人应当报出符合招标文件要求的拟提供服务总价。</w:t>
      </w:r>
      <w:r>
        <w:rPr>
          <w:rFonts w:hint="eastAsia" w:hAnsi="宋体" w:cs="宋体"/>
          <w:szCs w:val="21"/>
        </w:rPr>
        <w:t>投标报价中必须包含完成本项目所产生的一切费用，招标人不再支付投标报价之外的任何费用。（服务所必需的各类评审费、设备费、采样费、分析费、人工费用、材料费、食宿费、资料费及税金等），费用不管是否在投标报价表中单列，均视为投标总价中已包括该费用。</w:t>
      </w:r>
    </w:p>
    <w:p>
      <w:pPr>
        <w:pStyle w:val="21"/>
        <w:tabs>
          <w:tab w:val="left" w:pos="630"/>
        </w:tabs>
        <w:snapToGrid w:val="0"/>
        <w:spacing w:line="360" w:lineRule="auto"/>
        <w:ind w:firstLine="400" w:firstLineChars="200"/>
        <w:rPr>
          <w:rFonts w:hAnsi="宋体"/>
          <w:szCs w:val="21"/>
        </w:rPr>
      </w:pPr>
      <w:r>
        <w:rPr>
          <w:rFonts w:hAnsi="宋体"/>
          <w:szCs w:val="21"/>
        </w:rPr>
        <w:t>3.3.2</w:t>
      </w:r>
      <w:r>
        <w:rPr>
          <w:rFonts w:hint="eastAsia" w:hAnsi="宋体"/>
          <w:szCs w:val="21"/>
        </w:rPr>
        <w:t>投标货币：人民币。</w:t>
      </w:r>
    </w:p>
    <w:p>
      <w:pPr>
        <w:pStyle w:val="21"/>
        <w:tabs>
          <w:tab w:val="left" w:pos="630"/>
        </w:tabs>
        <w:snapToGrid w:val="0"/>
        <w:spacing w:line="360" w:lineRule="auto"/>
        <w:ind w:firstLine="400" w:firstLineChars="200"/>
        <w:rPr>
          <w:rFonts w:hAnsi="宋体"/>
          <w:szCs w:val="21"/>
        </w:rPr>
      </w:pPr>
      <w:r>
        <w:rPr>
          <w:rFonts w:hAnsi="宋体"/>
          <w:szCs w:val="21"/>
        </w:rPr>
        <w:t>3.3.3</w:t>
      </w:r>
      <w:r>
        <w:rPr>
          <w:rFonts w:hint="eastAsia" w:hAnsi="宋体"/>
          <w:szCs w:val="21"/>
        </w:rPr>
        <w:t>招标人设有最高投标限价的，投标人的投标报价不得超过最高投标限价，否则其投标将被否决。最高投标限价或者其计算方法见投标人须知前附表。</w:t>
      </w:r>
    </w:p>
    <w:p>
      <w:pPr>
        <w:pStyle w:val="21"/>
        <w:tabs>
          <w:tab w:val="left" w:pos="630"/>
        </w:tabs>
        <w:snapToGrid w:val="0"/>
        <w:spacing w:line="360" w:lineRule="auto"/>
        <w:ind w:firstLine="400" w:firstLineChars="200"/>
        <w:rPr>
          <w:rFonts w:hAnsi="宋体"/>
          <w:szCs w:val="21"/>
        </w:rPr>
      </w:pPr>
      <w:r>
        <w:rPr>
          <w:rFonts w:hAnsi="宋体"/>
          <w:szCs w:val="21"/>
        </w:rPr>
        <w:t>3.3.4</w:t>
      </w:r>
      <w:r>
        <w:rPr>
          <w:rFonts w:hint="eastAsia" w:hAnsi="宋体"/>
          <w:szCs w:val="21"/>
        </w:rPr>
        <w:t>招标人不接受投标人的任何低于成本报价的不正当竞争方式。</w:t>
      </w:r>
    </w:p>
    <w:p>
      <w:pPr>
        <w:pStyle w:val="21"/>
        <w:tabs>
          <w:tab w:val="left" w:pos="630"/>
        </w:tabs>
        <w:snapToGrid w:val="0"/>
        <w:spacing w:line="360" w:lineRule="auto"/>
        <w:ind w:firstLine="400" w:firstLineChars="200"/>
        <w:rPr>
          <w:rFonts w:hAnsi="宋体"/>
          <w:szCs w:val="21"/>
        </w:rPr>
      </w:pPr>
      <w:r>
        <w:rPr>
          <w:rFonts w:hAnsi="宋体"/>
          <w:szCs w:val="21"/>
        </w:rPr>
        <w:t>3.3.</w:t>
      </w:r>
      <w:r>
        <w:rPr>
          <w:rFonts w:hint="eastAsia" w:hAnsi="宋体"/>
          <w:szCs w:val="21"/>
        </w:rPr>
        <w:t>5投标报价的具体要求见投标人须知前附表。</w:t>
      </w:r>
    </w:p>
    <w:p>
      <w:pPr>
        <w:spacing w:line="360" w:lineRule="auto"/>
        <w:outlineLvl w:val="2"/>
        <w:rPr>
          <w:rFonts w:ascii="宋体"/>
          <w:b/>
        </w:rPr>
      </w:pPr>
      <w:bookmarkStart w:id="212" w:name="_Toc447188687"/>
      <w:bookmarkStart w:id="213" w:name="_Toc10210434"/>
      <w:bookmarkStart w:id="214" w:name="_Toc227057902"/>
      <w:bookmarkStart w:id="215" w:name="_Toc447265523"/>
      <w:bookmarkStart w:id="216" w:name="_Toc450489296"/>
      <w:bookmarkStart w:id="217" w:name="_Toc226969296"/>
      <w:bookmarkStart w:id="218" w:name="_Toc447265237"/>
      <w:bookmarkStart w:id="219" w:name="_Toc27913"/>
      <w:bookmarkStart w:id="220" w:name="_Toc8657488"/>
      <w:bookmarkStart w:id="221" w:name="_Toc107822500"/>
      <w:bookmarkStart w:id="222" w:name="_Toc227057901"/>
      <w:bookmarkStart w:id="223" w:name="_Toc226969295"/>
      <w:bookmarkStart w:id="224" w:name="_Toc107822499"/>
      <w:r>
        <w:rPr>
          <w:rFonts w:ascii="宋体" w:hAnsi="宋体"/>
          <w:b/>
        </w:rPr>
        <w:t>3.4</w:t>
      </w:r>
      <w:r>
        <w:rPr>
          <w:rFonts w:hint="eastAsia" w:ascii="宋体" w:hAnsi="宋体"/>
          <w:b/>
        </w:rPr>
        <w:t>投标有效期</w:t>
      </w:r>
      <w:bookmarkEnd w:id="212"/>
      <w:bookmarkEnd w:id="213"/>
      <w:bookmarkEnd w:id="214"/>
      <w:bookmarkEnd w:id="215"/>
      <w:bookmarkEnd w:id="216"/>
      <w:bookmarkEnd w:id="217"/>
      <w:bookmarkEnd w:id="218"/>
      <w:bookmarkEnd w:id="219"/>
      <w:bookmarkEnd w:id="220"/>
      <w:bookmarkEnd w:id="221"/>
    </w:p>
    <w:p>
      <w:pPr>
        <w:pStyle w:val="21"/>
        <w:tabs>
          <w:tab w:val="left" w:pos="630"/>
        </w:tabs>
        <w:snapToGrid w:val="0"/>
        <w:spacing w:line="360" w:lineRule="auto"/>
        <w:ind w:firstLine="400" w:firstLineChars="200"/>
        <w:rPr>
          <w:rFonts w:hAnsi="宋体"/>
          <w:szCs w:val="21"/>
        </w:rPr>
      </w:pPr>
      <w:r>
        <w:rPr>
          <w:rFonts w:hAnsi="宋体"/>
          <w:szCs w:val="21"/>
        </w:rPr>
        <w:t>3.4.1</w:t>
      </w:r>
      <w:r>
        <w:rPr>
          <w:rFonts w:hint="eastAsia" w:hAnsi="宋体"/>
          <w:szCs w:val="21"/>
        </w:rPr>
        <w:t>投标有效期从递交投标文件截止日起计算。投标有效期的具体时间见投标人须知前附表。在此期间，投标人不得要求撤销或者修改其投标文件。投标有效期不满足招标文件要求的投标将被否决。</w:t>
      </w:r>
    </w:p>
    <w:p>
      <w:pPr>
        <w:pStyle w:val="21"/>
        <w:tabs>
          <w:tab w:val="left" w:pos="630"/>
        </w:tabs>
        <w:snapToGrid w:val="0"/>
        <w:spacing w:line="360" w:lineRule="auto"/>
        <w:ind w:firstLine="400" w:firstLineChars="200"/>
        <w:rPr>
          <w:rFonts w:hAnsi="宋体"/>
          <w:szCs w:val="21"/>
        </w:rPr>
      </w:pPr>
      <w:r>
        <w:rPr>
          <w:rFonts w:hAnsi="宋体"/>
          <w:szCs w:val="21"/>
        </w:rPr>
        <w:t>3.4.2</w:t>
      </w:r>
      <w:r>
        <w:rPr>
          <w:rFonts w:hint="eastAsia" w:hAnsi="宋体"/>
          <w:szCs w:val="21"/>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w:t>
      </w:r>
    </w:p>
    <w:p>
      <w:pPr>
        <w:spacing w:line="360" w:lineRule="auto"/>
        <w:outlineLvl w:val="2"/>
        <w:rPr>
          <w:rFonts w:ascii="宋体"/>
          <w:b/>
        </w:rPr>
      </w:pPr>
      <w:bookmarkStart w:id="225" w:name="_Toc17330"/>
      <w:bookmarkStart w:id="226" w:name="_Toc8657489"/>
      <w:bookmarkStart w:id="227" w:name="_Toc10210435"/>
      <w:bookmarkStart w:id="228" w:name="_Toc450489297"/>
      <w:bookmarkStart w:id="229" w:name="_Toc447265238"/>
      <w:bookmarkStart w:id="230" w:name="_Toc447265524"/>
      <w:bookmarkStart w:id="231" w:name="_Toc447188688"/>
      <w:r>
        <w:rPr>
          <w:rFonts w:ascii="宋体" w:hAnsi="宋体"/>
          <w:b/>
        </w:rPr>
        <w:t>3.5</w:t>
      </w:r>
      <w:r>
        <w:rPr>
          <w:rFonts w:hint="eastAsia" w:ascii="宋体" w:hAnsi="宋体"/>
          <w:b/>
        </w:rPr>
        <w:t>投标保证金</w:t>
      </w:r>
      <w:bookmarkEnd w:id="222"/>
      <w:bookmarkEnd w:id="223"/>
      <w:bookmarkEnd w:id="224"/>
      <w:bookmarkEnd w:id="225"/>
      <w:bookmarkEnd w:id="226"/>
      <w:bookmarkEnd w:id="227"/>
      <w:bookmarkEnd w:id="228"/>
      <w:bookmarkEnd w:id="229"/>
      <w:bookmarkEnd w:id="230"/>
      <w:bookmarkEnd w:id="231"/>
    </w:p>
    <w:p>
      <w:pPr>
        <w:pStyle w:val="21"/>
        <w:tabs>
          <w:tab w:val="left" w:pos="630"/>
        </w:tabs>
        <w:snapToGrid w:val="0"/>
        <w:spacing w:line="360" w:lineRule="auto"/>
        <w:ind w:firstLine="400" w:firstLineChars="200"/>
        <w:rPr>
          <w:rFonts w:hint="eastAsia" w:hAnsi="宋体"/>
          <w:szCs w:val="21"/>
        </w:rPr>
      </w:pPr>
      <w:r>
        <w:rPr>
          <w:rFonts w:hint="eastAsia" w:hAnsi="宋体"/>
          <w:szCs w:val="21"/>
        </w:rPr>
        <w:t>不收取。</w:t>
      </w:r>
    </w:p>
    <w:p>
      <w:pPr>
        <w:spacing w:line="360" w:lineRule="auto"/>
        <w:outlineLvl w:val="2"/>
        <w:rPr>
          <w:rFonts w:ascii="宋体"/>
          <w:b/>
        </w:rPr>
      </w:pPr>
      <w:bookmarkStart w:id="232" w:name="_Toc227057904"/>
      <w:bookmarkStart w:id="233" w:name="_Toc107822501"/>
      <w:bookmarkStart w:id="234" w:name="_Toc226969298"/>
      <w:bookmarkStart w:id="235" w:name="_Toc9381"/>
      <w:bookmarkStart w:id="236" w:name="_Toc447265526"/>
      <w:bookmarkStart w:id="237" w:name="_Toc447265240"/>
      <w:bookmarkStart w:id="238" w:name="_Toc450489299"/>
      <w:bookmarkStart w:id="239" w:name="_Toc447188690"/>
      <w:bookmarkStart w:id="240" w:name="_Toc8657491"/>
      <w:bookmarkStart w:id="241" w:name="_Toc10210437"/>
      <w:r>
        <w:rPr>
          <w:rFonts w:ascii="宋体" w:hAnsi="宋体"/>
          <w:b/>
        </w:rPr>
        <w:t>3.</w:t>
      </w:r>
      <w:r>
        <w:rPr>
          <w:rFonts w:hint="eastAsia" w:ascii="宋体" w:hAnsi="宋体"/>
          <w:b/>
        </w:rPr>
        <w:t>6投标文件的式样</w:t>
      </w:r>
      <w:bookmarkEnd w:id="232"/>
      <w:bookmarkEnd w:id="233"/>
      <w:bookmarkEnd w:id="234"/>
      <w:r>
        <w:rPr>
          <w:rFonts w:hint="eastAsia" w:ascii="宋体" w:hAnsi="宋体"/>
          <w:b/>
        </w:rPr>
        <w:t>、密封和标记</w:t>
      </w:r>
      <w:bookmarkEnd w:id="235"/>
      <w:bookmarkEnd w:id="236"/>
      <w:bookmarkEnd w:id="237"/>
      <w:bookmarkEnd w:id="238"/>
      <w:bookmarkEnd w:id="239"/>
      <w:bookmarkEnd w:id="240"/>
      <w:bookmarkEnd w:id="241"/>
    </w:p>
    <w:p>
      <w:pPr>
        <w:pStyle w:val="21"/>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.1</w:t>
      </w:r>
      <w:r>
        <w:rPr>
          <w:rFonts w:hint="eastAsia" w:hAnsi="宋体"/>
          <w:szCs w:val="21"/>
        </w:rPr>
        <w:t>投标人应当编制一份投标文件“正本”和投标人须知前附表所述份数的“副本”和“电子版”。投标文件正本和副本如有不一致之处，以正本为准；纸质版文件与电子版文件不一致时，以纸质版文件为准。</w:t>
      </w:r>
    </w:p>
    <w:p>
      <w:pPr>
        <w:pStyle w:val="21"/>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.2</w:t>
      </w:r>
      <w:r>
        <w:rPr>
          <w:rFonts w:hint="eastAsia" w:hAnsi="宋体"/>
          <w:szCs w:val="21"/>
        </w:rPr>
        <w:t>每份投标文件的正本、副本应当分别胶装装订，并于封面上明确标明“正本”、“副本”字样。</w:t>
      </w:r>
    </w:p>
    <w:p>
      <w:pPr>
        <w:pStyle w:val="21"/>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.3</w:t>
      </w:r>
      <w:r>
        <w:rPr>
          <w:rFonts w:hint="eastAsia" w:hAnsi="宋体"/>
          <w:szCs w:val="21"/>
        </w:rPr>
        <w:t>投标文件应当按照投标人须知前附表规定密封包装，并在封套的封口处应加盖“密封”章或“单位公章”。</w:t>
      </w:r>
    </w:p>
    <w:p>
      <w:pPr>
        <w:pStyle w:val="21"/>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.4</w:t>
      </w:r>
      <w:r>
        <w:rPr>
          <w:rFonts w:hint="eastAsia" w:hAnsi="宋体"/>
          <w:szCs w:val="21"/>
        </w:rPr>
        <w:t>投标文件外封套上应写明的内容见投标人须知前附表。</w:t>
      </w:r>
    </w:p>
    <w:p>
      <w:pPr>
        <w:pStyle w:val="21"/>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.5</w:t>
      </w:r>
      <w:r>
        <w:rPr>
          <w:rFonts w:hint="eastAsia" w:hAnsi="宋体"/>
          <w:szCs w:val="21"/>
        </w:rPr>
        <w:t>递交投标文件时，如果未按照上述规定进行密封和标记，招标人对投标文件的提前拆封概不负责，且未按照要求密封和加写标记的投标文件，招标人不予受理。</w:t>
      </w:r>
    </w:p>
    <w:p>
      <w:pPr>
        <w:spacing w:line="360" w:lineRule="auto"/>
        <w:outlineLvl w:val="1"/>
        <w:rPr>
          <w:rFonts w:ascii="宋体"/>
          <w:b/>
        </w:rPr>
      </w:pPr>
      <w:bookmarkStart w:id="242" w:name="_Toc8657492"/>
      <w:bookmarkStart w:id="243" w:name="_Toc30901"/>
      <w:bookmarkStart w:id="244" w:name="_Toc10210438"/>
      <w:r>
        <w:rPr>
          <w:rFonts w:ascii="宋体" w:hAnsi="宋体"/>
          <w:b/>
        </w:rPr>
        <w:t>4.</w:t>
      </w:r>
      <w:r>
        <w:rPr>
          <w:rFonts w:hint="eastAsia" w:ascii="宋体" w:hAnsi="宋体"/>
          <w:b/>
        </w:rPr>
        <w:t>投标</w:t>
      </w:r>
      <w:bookmarkEnd w:id="188"/>
      <w:bookmarkEnd w:id="189"/>
      <w:bookmarkEnd w:id="190"/>
      <w:bookmarkEnd w:id="242"/>
      <w:bookmarkEnd w:id="243"/>
      <w:bookmarkEnd w:id="244"/>
    </w:p>
    <w:p>
      <w:pPr>
        <w:spacing w:line="360" w:lineRule="auto"/>
        <w:outlineLvl w:val="2"/>
        <w:rPr>
          <w:rFonts w:ascii="宋体"/>
          <w:b/>
        </w:rPr>
      </w:pPr>
      <w:bookmarkStart w:id="245" w:name="_Toc447265529"/>
      <w:bookmarkStart w:id="246" w:name="_Toc447188692"/>
      <w:bookmarkStart w:id="247" w:name="_Toc10210439"/>
      <w:bookmarkStart w:id="248" w:name="_Toc447265243"/>
      <w:bookmarkStart w:id="249" w:name="_Toc8657493"/>
      <w:bookmarkStart w:id="250" w:name="_Toc26303"/>
      <w:r>
        <w:rPr>
          <w:rFonts w:ascii="宋体" w:hAnsi="宋体"/>
          <w:b/>
        </w:rPr>
        <w:t>4.1</w:t>
      </w:r>
      <w:r>
        <w:rPr>
          <w:rFonts w:hint="eastAsia" w:ascii="宋体" w:hAnsi="宋体"/>
          <w:b/>
        </w:rPr>
        <w:t>投标</w:t>
      </w:r>
      <w:bookmarkEnd w:id="191"/>
      <w:bookmarkEnd w:id="192"/>
      <w:r>
        <w:rPr>
          <w:rFonts w:hint="eastAsia" w:ascii="宋体" w:hAnsi="宋体"/>
          <w:b/>
        </w:rPr>
        <w:t>文件的递交</w:t>
      </w:r>
      <w:bookmarkEnd w:id="193"/>
      <w:bookmarkEnd w:id="194"/>
      <w:bookmarkEnd w:id="245"/>
      <w:bookmarkEnd w:id="246"/>
      <w:bookmarkEnd w:id="247"/>
      <w:bookmarkEnd w:id="248"/>
      <w:bookmarkEnd w:id="249"/>
      <w:bookmarkEnd w:id="250"/>
    </w:p>
    <w:p>
      <w:pPr>
        <w:pStyle w:val="21"/>
        <w:tabs>
          <w:tab w:val="left" w:pos="630"/>
        </w:tabs>
        <w:snapToGrid w:val="0"/>
        <w:spacing w:line="360" w:lineRule="auto"/>
        <w:ind w:firstLine="400" w:firstLineChars="200"/>
        <w:rPr>
          <w:rFonts w:hAnsi="宋体"/>
          <w:szCs w:val="21"/>
        </w:rPr>
      </w:pPr>
      <w:bookmarkStart w:id="251" w:name="_Toc107822504"/>
      <w:bookmarkStart w:id="252" w:name="_Toc488655849"/>
      <w:bookmarkStart w:id="253" w:name="_Toc488655850"/>
      <w:bookmarkStart w:id="254" w:name="_Toc226969301"/>
      <w:bookmarkStart w:id="255" w:name="_Toc227057907"/>
      <w:bookmarkStart w:id="256" w:name="_Toc107822505"/>
      <w:bookmarkStart w:id="257" w:name="_Toc447265530"/>
      <w:bookmarkStart w:id="258" w:name="_Toc447265244"/>
      <w:bookmarkStart w:id="259" w:name="_Toc447188693"/>
      <w:r>
        <w:rPr>
          <w:rFonts w:hAnsi="宋体"/>
          <w:szCs w:val="21"/>
        </w:rPr>
        <w:t>4.1.1</w:t>
      </w:r>
      <w:r>
        <w:rPr>
          <w:rFonts w:hint="eastAsia" w:hAnsi="宋体"/>
          <w:szCs w:val="21"/>
        </w:rPr>
        <w:t>投标文件递交截止时间：见投标人须知前附表。</w:t>
      </w:r>
    </w:p>
    <w:p>
      <w:pPr>
        <w:pStyle w:val="21"/>
        <w:tabs>
          <w:tab w:val="left" w:pos="630"/>
        </w:tabs>
        <w:snapToGrid w:val="0"/>
        <w:spacing w:line="360" w:lineRule="auto"/>
        <w:ind w:firstLine="400" w:firstLineChars="200"/>
        <w:rPr>
          <w:rFonts w:hAnsi="宋体"/>
          <w:szCs w:val="21"/>
        </w:rPr>
      </w:pPr>
      <w:r>
        <w:rPr>
          <w:rFonts w:hAnsi="宋体"/>
          <w:szCs w:val="21"/>
        </w:rPr>
        <w:t>4.1.2</w:t>
      </w:r>
      <w:r>
        <w:rPr>
          <w:rFonts w:hint="eastAsia" w:hAnsi="宋体"/>
          <w:szCs w:val="21"/>
        </w:rPr>
        <w:t>投标文件递交地点：见投标人须知前附表。</w:t>
      </w:r>
    </w:p>
    <w:p>
      <w:pPr>
        <w:pStyle w:val="21"/>
        <w:tabs>
          <w:tab w:val="left" w:pos="630"/>
        </w:tabs>
        <w:snapToGrid w:val="0"/>
        <w:spacing w:line="360" w:lineRule="auto"/>
        <w:ind w:firstLine="400" w:firstLineChars="200"/>
        <w:rPr>
          <w:rFonts w:hAnsi="宋体"/>
          <w:szCs w:val="21"/>
        </w:rPr>
      </w:pPr>
      <w:r>
        <w:rPr>
          <w:rFonts w:hAnsi="宋体"/>
          <w:szCs w:val="21"/>
        </w:rPr>
        <w:t>4.1.3</w:t>
      </w:r>
      <w:r>
        <w:rPr>
          <w:rFonts w:hint="eastAsia" w:hAnsi="宋体"/>
          <w:szCs w:val="21"/>
        </w:rPr>
        <w:t>除投标人须知前附表另有规定外，投标人所递交的投标文件不予退还。</w:t>
      </w:r>
    </w:p>
    <w:p>
      <w:pPr>
        <w:pStyle w:val="21"/>
        <w:tabs>
          <w:tab w:val="left" w:pos="630"/>
        </w:tabs>
        <w:snapToGrid w:val="0"/>
        <w:spacing w:line="360" w:lineRule="auto"/>
        <w:ind w:firstLine="400" w:firstLineChars="200"/>
        <w:rPr>
          <w:rFonts w:hAnsi="宋体"/>
          <w:szCs w:val="21"/>
        </w:rPr>
      </w:pPr>
      <w:r>
        <w:rPr>
          <w:rFonts w:hAnsi="宋体"/>
          <w:szCs w:val="21"/>
        </w:rPr>
        <w:t>4.1.4</w:t>
      </w:r>
      <w:r>
        <w:rPr>
          <w:rFonts w:hint="eastAsia" w:hAnsi="宋体"/>
          <w:szCs w:val="21"/>
        </w:rPr>
        <w:t>出现以下情形时，招标人不予接收投标文件：</w:t>
      </w:r>
    </w:p>
    <w:p>
      <w:pPr>
        <w:pStyle w:val="21"/>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1</w:t>
      </w:r>
      <w:r>
        <w:rPr>
          <w:rFonts w:hint="eastAsia" w:hAnsi="宋体"/>
          <w:szCs w:val="21"/>
        </w:rPr>
        <w:t>）逾期送达或者未送达指定地点的；</w:t>
      </w:r>
    </w:p>
    <w:p>
      <w:pPr>
        <w:pStyle w:val="21"/>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2</w:t>
      </w:r>
      <w:r>
        <w:rPr>
          <w:rFonts w:hint="eastAsia" w:hAnsi="宋体"/>
          <w:szCs w:val="21"/>
        </w:rPr>
        <w:t>）未按照招标文件要求密封的；</w:t>
      </w:r>
    </w:p>
    <w:p>
      <w:pPr>
        <w:pStyle w:val="21"/>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3</w:t>
      </w:r>
      <w:r>
        <w:rPr>
          <w:rFonts w:hint="eastAsia" w:hAnsi="宋体"/>
          <w:szCs w:val="21"/>
        </w:rPr>
        <w:t>）委托代理人开标现场不能出示《法定代表人授权委托书》及代理人身份证原件的；</w:t>
      </w:r>
    </w:p>
    <w:p>
      <w:pPr>
        <w:pStyle w:val="21"/>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4</w:t>
      </w:r>
      <w:r>
        <w:rPr>
          <w:rFonts w:hint="eastAsia" w:hAnsi="宋体"/>
          <w:szCs w:val="21"/>
        </w:rPr>
        <w:t>）法定代表人开标现场不能出示《法定代表人身份证明》及身份证原件的；</w:t>
      </w:r>
    </w:p>
    <w:p>
      <w:pPr>
        <w:pStyle w:val="21"/>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5</w:t>
      </w:r>
      <w:r>
        <w:rPr>
          <w:rFonts w:hint="eastAsia" w:hAnsi="宋体"/>
          <w:szCs w:val="21"/>
        </w:rPr>
        <w:t>）未按照第一章“招标公告”要求获得本项目招标文件的。</w:t>
      </w:r>
    </w:p>
    <w:p>
      <w:pPr>
        <w:pStyle w:val="21"/>
        <w:tabs>
          <w:tab w:val="left" w:pos="630"/>
        </w:tabs>
        <w:snapToGrid w:val="0"/>
        <w:spacing w:line="360" w:lineRule="auto"/>
        <w:ind w:firstLine="400" w:firstLineChars="200"/>
        <w:rPr>
          <w:rFonts w:hAnsi="宋体"/>
          <w:szCs w:val="21"/>
        </w:rPr>
      </w:pPr>
      <w:r>
        <w:rPr>
          <w:rFonts w:hAnsi="宋体"/>
          <w:szCs w:val="21"/>
        </w:rPr>
        <w:t>4.1.5</w:t>
      </w:r>
      <w:r>
        <w:rPr>
          <w:rFonts w:hint="eastAsia" w:hAnsi="宋体"/>
          <w:szCs w:val="21"/>
        </w:rPr>
        <w:t>到投标文件递交截止时间止，招标人收到的投标文件少于</w:t>
      </w:r>
      <w:r>
        <w:rPr>
          <w:rFonts w:hAnsi="宋体"/>
          <w:szCs w:val="21"/>
        </w:rPr>
        <w:t>3</w:t>
      </w:r>
      <w:r>
        <w:rPr>
          <w:rFonts w:hint="eastAsia" w:hAnsi="宋体"/>
          <w:szCs w:val="21"/>
        </w:rPr>
        <w:t>个的，招标人将依法</w:t>
      </w:r>
      <w:r>
        <w:rPr>
          <w:rFonts w:hint="eastAsia" w:hAnsi="宋体" w:cs="宋体"/>
          <w:szCs w:val="21"/>
        </w:rPr>
        <w:t>重新组织招标。</w:t>
      </w:r>
    </w:p>
    <w:bookmarkEnd w:id="251"/>
    <w:bookmarkEnd w:id="252"/>
    <w:p>
      <w:pPr>
        <w:spacing w:line="360" w:lineRule="auto"/>
        <w:outlineLvl w:val="2"/>
        <w:rPr>
          <w:rFonts w:ascii="宋体"/>
          <w:b/>
        </w:rPr>
      </w:pPr>
      <w:bookmarkStart w:id="260" w:name="_Toc8657494"/>
      <w:bookmarkStart w:id="261" w:name="_Toc10210440"/>
      <w:bookmarkStart w:id="262" w:name="_Toc12576"/>
      <w:r>
        <w:rPr>
          <w:rFonts w:ascii="宋体" w:hAnsi="宋体"/>
          <w:b/>
        </w:rPr>
        <w:t>4.2</w:t>
      </w:r>
      <w:r>
        <w:rPr>
          <w:rFonts w:hint="eastAsia" w:ascii="宋体" w:hAnsi="宋体"/>
          <w:b/>
        </w:rPr>
        <w:t>投标文件的修改、撤回</w:t>
      </w:r>
      <w:bookmarkEnd w:id="253"/>
      <w:bookmarkEnd w:id="254"/>
      <w:bookmarkEnd w:id="255"/>
      <w:bookmarkEnd w:id="256"/>
      <w:r>
        <w:rPr>
          <w:rFonts w:hint="eastAsia" w:ascii="宋体" w:hAnsi="宋体"/>
          <w:b/>
        </w:rPr>
        <w:t>和撤销</w:t>
      </w:r>
      <w:bookmarkEnd w:id="257"/>
      <w:bookmarkEnd w:id="258"/>
      <w:bookmarkEnd w:id="259"/>
      <w:bookmarkEnd w:id="260"/>
      <w:bookmarkEnd w:id="261"/>
      <w:bookmarkEnd w:id="262"/>
    </w:p>
    <w:p>
      <w:pPr>
        <w:pStyle w:val="21"/>
        <w:tabs>
          <w:tab w:val="left" w:pos="630"/>
        </w:tabs>
        <w:snapToGrid w:val="0"/>
        <w:spacing w:line="360" w:lineRule="auto"/>
        <w:ind w:firstLine="400" w:firstLineChars="200"/>
        <w:rPr>
          <w:rFonts w:hAnsi="宋体"/>
          <w:szCs w:val="21"/>
        </w:rPr>
      </w:pPr>
      <w:bookmarkStart w:id="263" w:name="_Toc144974527"/>
      <w:bookmarkStart w:id="264" w:name="_Toc447265531"/>
      <w:bookmarkStart w:id="265" w:name="_Toc447265245"/>
      <w:bookmarkStart w:id="266" w:name="_Toc152042335"/>
      <w:bookmarkStart w:id="267" w:name="_Toc246996203"/>
      <w:bookmarkStart w:id="268" w:name="_Toc179632577"/>
      <w:bookmarkStart w:id="269" w:name="_Toc152045559"/>
      <w:bookmarkStart w:id="270" w:name="_Toc246996946"/>
      <w:bookmarkStart w:id="271" w:name="_Toc296602447"/>
      <w:bookmarkStart w:id="272" w:name="_Toc247085717"/>
      <w:bookmarkStart w:id="273" w:name="_Toc447188694"/>
      <w:bookmarkStart w:id="274" w:name="_Toc488655852"/>
      <w:bookmarkStart w:id="275" w:name="_Toc107822506"/>
      <w:bookmarkStart w:id="276" w:name="_Toc227057908"/>
      <w:bookmarkStart w:id="277" w:name="_Toc226969302"/>
      <w:r>
        <w:rPr>
          <w:rFonts w:hAnsi="宋体"/>
          <w:szCs w:val="21"/>
        </w:rPr>
        <w:t>4.2.1</w:t>
      </w:r>
      <w:r>
        <w:rPr>
          <w:rFonts w:hint="eastAsia" w:hAnsi="宋体"/>
          <w:szCs w:val="21"/>
        </w:rPr>
        <w:t>在规定的投标截止时间前，投标人可以修改或者撤回已递交的投标文件。</w:t>
      </w:r>
    </w:p>
    <w:p>
      <w:pPr>
        <w:pStyle w:val="21"/>
        <w:tabs>
          <w:tab w:val="left" w:pos="630"/>
        </w:tabs>
        <w:snapToGrid w:val="0"/>
        <w:spacing w:line="360" w:lineRule="auto"/>
        <w:ind w:firstLine="400" w:firstLineChars="200"/>
        <w:rPr>
          <w:rFonts w:hAnsi="宋体"/>
          <w:szCs w:val="21"/>
        </w:rPr>
      </w:pPr>
      <w:r>
        <w:rPr>
          <w:rFonts w:hAnsi="宋体"/>
          <w:szCs w:val="21"/>
        </w:rPr>
        <w:t>4.2.2</w:t>
      </w:r>
      <w:r>
        <w:rPr>
          <w:rFonts w:hint="eastAsia" w:hAnsi="宋体"/>
          <w:szCs w:val="21"/>
        </w:rPr>
        <w:t>投标人修改后的投标文件，应当在规定的投标截止时间前按照招标文件的规定编制、密封、标记、递交。</w:t>
      </w:r>
    </w:p>
    <w:p>
      <w:pPr>
        <w:pStyle w:val="21"/>
        <w:tabs>
          <w:tab w:val="left" w:pos="630"/>
        </w:tabs>
        <w:snapToGrid w:val="0"/>
        <w:spacing w:line="360" w:lineRule="auto"/>
        <w:ind w:firstLine="400" w:firstLineChars="200"/>
        <w:rPr>
          <w:rFonts w:hAnsi="宋体"/>
          <w:szCs w:val="21"/>
        </w:rPr>
      </w:pPr>
      <w:r>
        <w:rPr>
          <w:rFonts w:hAnsi="宋体"/>
          <w:szCs w:val="21"/>
        </w:rPr>
        <w:t>4.2.3</w:t>
      </w:r>
      <w:r>
        <w:rPr>
          <w:rFonts w:hint="eastAsia" w:hAnsi="宋体"/>
          <w:szCs w:val="21"/>
        </w:rPr>
        <w:t>投标人撤回已递交的投标文件，应当书面通知招标人。</w:t>
      </w:r>
    </w:p>
    <w:p>
      <w:pPr>
        <w:pStyle w:val="21"/>
        <w:tabs>
          <w:tab w:val="left" w:pos="630"/>
        </w:tabs>
        <w:snapToGrid w:val="0"/>
        <w:spacing w:line="360" w:lineRule="auto"/>
        <w:ind w:firstLine="400" w:firstLineChars="200"/>
        <w:rPr>
          <w:rFonts w:hAnsi="宋体"/>
          <w:szCs w:val="21"/>
        </w:rPr>
      </w:pPr>
      <w:r>
        <w:rPr>
          <w:rFonts w:hAnsi="宋体"/>
          <w:szCs w:val="21"/>
        </w:rPr>
        <w:t>4.2.4</w:t>
      </w:r>
      <w:r>
        <w:rPr>
          <w:rFonts w:hint="eastAsia" w:hAnsi="宋体"/>
          <w:szCs w:val="21"/>
        </w:rPr>
        <w:t>投标人在规定的投标截止时间后，不得在投标有效期内撤销其投标。</w:t>
      </w:r>
    </w:p>
    <w:p>
      <w:pPr>
        <w:spacing w:line="360" w:lineRule="auto"/>
        <w:outlineLvl w:val="1"/>
        <w:rPr>
          <w:rFonts w:ascii="宋体"/>
          <w:b/>
        </w:rPr>
      </w:pPr>
      <w:bookmarkStart w:id="278" w:name="_Toc23281"/>
      <w:bookmarkStart w:id="279" w:name="_Toc8657495"/>
      <w:bookmarkStart w:id="280" w:name="_Toc10210441"/>
      <w:r>
        <w:rPr>
          <w:rFonts w:ascii="宋体" w:hAnsi="宋体"/>
          <w:b/>
        </w:rPr>
        <w:t>5.</w:t>
      </w:r>
      <w:r>
        <w:rPr>
          <w:rFonts w:hint="eastAsia" w:ascii="宋体" w:hAnsi="宋体"/>
          <w:b/>
        </w:rPr>
        <w:t>开标</w:t>
      </w:r>
      <w:bookmarkEnd w:id="263"/>
      <w:bookmarkEnd w:id="264"/>
      <w:bookmarkEnd w:id="265"/>
      <w:bookmarkEnd w:id="266"/>
      <w:bookmarkEnd w:id="267"/>
      <w:bookmarkEnd w:id="268"/>
      <w:bookmarkEnd w:id="269"/>
      <w:bookmarkEnd w:id="270"/>
      <w:bookmarkEnd w:id="271"/>
      <w:bookmarkEnd w:id="272"/>
      <w:bookmarkEnd w:id="273"/>
      <w:bookmarkEnd w:id="278"/>
      <w:bookmarkEnd w:id="279"/>
      <w:bookmarkEnd w:id="280"/>
    </w:p>
    <w:p>
      <w:pPr>
        <w:spacing w:line="360" w:lineRule="auto"/>
        <w:outlineLvl w:val="2"/>
        <w:rPr>
          <w:rFonts w:ascii="宋体"/>
          <w:b/>
        </w:rPr>
      </w:pPr>
      <w:bookmarkStart w:id="281" w:name="_Toc447188695"/>
      <w:bookmarkStart w:id="282" w:name="_Toc8657496"/>
      <w:bookmarkStart w:id="283" w:name="_Toc447265246"/>
      <w:bookmarkStart w:id="284" w:name="_Toc12116"/>
      <w:bookmarkStart w:id="285" w:name="_Toc447265532"/>
      <w:bookmarkStart w:id="286" w:name="_Toc10210442"/>
      <w:r>
        <w:rPr>
          <w:rFonts w:ascii="宋体" w:hAnsi="宋体"/>
          <w:b/>
        </w:rPr>
        <w:t>5.1</w:t>
      </w:r>
      <w:r>
        <w:rPr>
          <w:rFonts w:hint="eastAsia" w:ascii="宋体" w:hAnsi="宋体"/>
          <w:b/>
        </w:rPr>
        <w:t>开标</w:t>
      </w:r>
      <w:bookmarkEnd w:id="274"/>
      <w:bookmarkEnd w:id="275"/>
      <w:bookmarkEnd w:id="276"/>
      <w:bookmarkEnd w:id="277"/>
      <w:r>
        <w:rPr>
          <w:rFonts w:hint="eastAsia" w:ascii="宋体" w:hAnsi="宋体"/>
          <w:b/>
        </w:rPr>
        <w:t>时间和地点</w:t>
      </w:r>
      <w:bookmarkEnd w:id="281"/>
      <w:bookmarkEnd w:id="282"/>
      <w:bookmarkEnd w:id="283"/>
      <w:bookmarkEnd w:id="284"/>
      <w:bookmarkEnd w:id="285"/>
      <w:bookmarkEnd w:id="286"/>
    </w:p>
    <w:p>
      <w:pPr>
        <w:pStyle w:val="21"/>
        <w:tabs>
          <w:tab w:val="left" w:pos="630"/>
        </w:tabs>
        <w:snapToGrid w:val="0"/>
        <w:spacing w:line="360" w:lineRule="auto"/>
        <w:ind w:firstLine="400" w:firstLineChars="200"/>
        <w:rPr>
          <w:rFonts w:hAnsi="宋体"/>
          <w:szCs w:val="21"/>
        </w:rPr>
      </w:pPr>
      <w:r>
        <w:rPr>
          <w:rFonts w:hint="eastAsia" w:hAnsi="宋体"/>
          <w:szCs w:val="21"/>
        </w:rPr>
        <w:t>招标人将按照投标人须知前附表规定的时间和地点公开开标，参加开标的投标人代表应当签名报到，以证明其出席开标。开标时间和投标截止时间应当为同一时间。</w:t>
      </w:r>
    </w:p>
    <w:p>
      <w:pPr>
        <w:spacing w:line="360" w:lineRule="auto"/>
        <w:outlineLvl w:val="2"/>
        <w:rPr>
          <w:rFonts w:ascii="宋体"/>
          <w:b/>
        </w:rPr>
      </w:pPr>
      <w:bookmarkStart w:id="287" w:name="_Toc13976"/>
      <w:bookmarkStart w:id="288" w:name="_Toc447265247"/>
      <w:bookmarkStart w:id="289" w:name="_Toc447188696"/>
      <w:bookmarkStart w:id="290" w:name="_Toc447265533"/>
      <w:bookmarkStart w:id="291" w:name="_Toc8657497"/>
      <w:bookmarkStart w:id="292" w:name="_Toc10210443"/>
      <w:r>
        <w:rPr>
          <w:rFonts w:ascii="宋体" w:hAnsi="宋体"/>
          <w:b/>
        </w:rPr>
        <w:t>5.2</w:t>
      </w:r>
      <w:r>
        <w:rPr>
          <w:rFonts w:hint="eastAsia" w:ascii="宋体" w:hAnsi="宋体"/>
          <w:b/>
        </w:rPr>
        <w:t>开标程序</w:t>
      </w:r>
      <w:bookmarkEnd w:id="287"/>
      <w:bookmarkEnd w:id="288"/>
      <w:bookmarkEnd w:id="289"/>
      <w:bookmarkEnd w:id="290"/>
      <w:bookmarkEnd w:id="291"/>
      <w:bookmarkEnd w:id="292"/>
    </w:p>
    <w:p>
      <w:pPr>
        <w:pStyle w:val="21"/>
        <w:tabs>
          <w:tab w:val="left" w:pos="630"/>
        </w:tabs>
        <w:snapToGrid w:val="0"/>
        <w:spacing w:line="360" w:lineRule="auto"/>
        <w:ind w:firstLine="400" w:firstLineChars="200"/>
        <w:rPr>
          <w:rFonts w:hAnsi="宋体"/>
          <w:szCs w:val="21"/>
        </w:rPr>
      </w:pPr>
      <w:bookmarkStart w:id="293" w:name="_Toc152045562"/>
      <w:bookmarkStart w:id="294" w:name="_Toc152042338"/>
      <w:bookmarkStart w:id="295" w:name="_Toc296602451"/>
      <w:bookmarkStart w:id="296" w:name="_Toc246996206"/>
      <w:bookmarkStart w:id="297" w:name="_Toc447265250"/>
      <w:bookmarkStart w:id="298" w:name="_Toc246996949"/>
      <w:bookmarkStart w:id="299" w:name="_Toc447265536"/>
      <w:bookmarkStart w:id="300" w:name="_Toc247085720"/>
      <w:bookmarkStart w:id="301" w:name="_Toc447188699"/>
      <w:bookmarkStart w:id="302" w:name="_Toc179632580"/>
      <w:bookmarkStart w:id="303" w:name="_Toc144974530"/>
      <w:bookmarkStart w:id="304" w:name="_Toc227057909"/>
      <w:bookmarkStart w:id="305" w:name="_Toc226969303"/>
      <w:bookmarkStart w:id="306" w:name="_Toc107822507"/>
      <w:r>
        <w:rPr>
          <w:rFonts w:hAnsi="宋体"/>
          <w:szCs w:val="21"/>
        </w:rPr>
        <w:t>5.2.1</w:t>
      </w:r>
      <w:r>
        <w:rPr>
          <w:rFonts w:hint="eastAsia" w:hAnsi="宋体"/>
          <w:szCs w:val="21"/>
        </w:rPr>
        <w:t>开标会议由招标人组织并主持，邀请所有的投标人或者其代表出席。投标人代表对投标文件密封性进行检查，同时由监标人检查投标人授权委托代理人《法定代表人授权委托书》及身份证。</w:t>
      </w:r>
    </w:p>
    <w:p>
      <w:pPr>
        <w:pStyle w:val="21"/>
        <w:tabs>
          <w:tab w:val="left" w:pos="630"/>
        </w:tabs>
        <w:snapToGrid w:val="0"/>
        <w:spacing w:line="360" w:lineRule="auto"/>
        <w:ind w:firstLine="400" w:firstLineChars="200"/>
        <w:rPr>
          <w:rFonts w:hAnsi="宋体"/>
          <w:szCs w:val="21"/>
        </w:rPr>
      </w:pPr>
      <w:r>
        <w:rPr>
          <w:rFonts w:hAnsi="宋体"/>
          <w:szCs w:val="21"/>
        </w:rPr>
        <w:t>5.2.2</w:t>
      </w:r>
      <w:r>
        <w:rPr>
          <w:rFonts w:hint="eastAsia" w:hAnsi="宋体"/>
          <w:szCs w:val="21"/>
        </w:rPr>
        <w:t>招标人在投标文件递交截止时间前收到的所有投标文件在开标时都应当众予以拆封、宣读，但按照招标文件规定递交合格的书面撤回通知的投标文件不予开封。</w:t>
      </w:r>
    </w:p>
    <w:p>
      <w:pPr>
        <w:pStyle w:val="21"/>
        <w:tabs>
          <w:tab w:val="left" w:pos="630"/>
        </w:tabs>
        <w:snapToGrid w:val="0"/>
        <w:spacing w:line="360" w:lineRule="auto"/>
        <w:ind w:firstLine="400" w:firstLineChars="200"/>
        <w:rPr>
          <w:rFonts w:hAnsi="宋体"/>
          <w:szCs w:val="21"/>
        </w:rPr>
      </w:pPr>
      <w:r>
        <w:rPr>
          <w:rFonts w:hAnsi="宋体"/>
          <w:szCs w:val="21"/>
        </w:rPr>
        <w:t>5.2.3</w:t>
      </w:r>
      <w:r>
        <w:rPr>
          <w:rFonts w:hint="eastAsia" w:hAnsi="宋体"/>
          <w:szCs w:val="21"/>
        </w:rPr>
        <w:t>开标时，招标人应当众宣布参加本项目招标的投标人个数及投标文件的密封情况，并宣读有效投标的“投标函”中的内容，“投标函”一般包括：投标人名称、投标总报价、以及招标文件中规定的其他内容。</w:t>
      </w:r>
    </w:p>
    <w:p>
      <w:pPr>
        <w:pStyle w:val="21"/>
        <w:tabs>
          <w:tab w:val="left" w:pos="630"/>
        </w:tabs>
        <w:snapToGrid w:val="0"/>
        <w:spacing w:line="360" w:lineRule="auto"/>
        <w:ind w:firstLine="400" w:firstLineChars="200"/>
        <w:rPr>
          <w:rFonts w:hAnsi="宋体"/>
          <w:szCs w:val="21"/>
        </w:rPr>
      </w:pPr>
      <w:r>
        <w:rPr>
          <w:rFonts w:hAnsi="宋体"/>
          <w:szCs w:val="21"/>
        </w:rPr>
        <w:t>5.2.4</w:t>
      </w:r>
      <w:r>
        <w:rPr>
          <w:rFonts w:hint="eastAsia" w:hAnsi="宋体"/>
          <w:szCs w:val="21"/>
        </w:rPr>
        <w:t>开标内容填写在“开标记录表”中，由主持人、唱标人、记录人、监标人签字确认，存档备查。</w:t>
      </w:r>
    </w:p>
    <w:p>
      <w:pPr>
        <w:spacing w:line="360" w:lineRule="auto"/>
        <w:outlineLvl w:val="2"/>
        <w:rPr>
          <w:rFonts w:ascii="宋体"/>
          <w:b/>
        </w:rPr>
      </w:pPr>
      <w:bookmarkStart w:id="307" w:name="_Toc447265534"/>
      <w:bookmarkStart w:id="308" w:name="_Toc26033"/>
      <w:bookmarkStart w:id="309" w:name="_Toc10210444"/>
      <w:bookmarkStart w:id="310" w:name="_Toc447188697"/>
      <w:bookmarkStart w:id="311" w:name="_Toc447265248"/>
      <w:bookmarkStart w:id="312" w:name="_Toc450489307"/>
      <w:bookmarkStart w:id="313" w:name="_Toc8657498"/>
      <w:r>
        <w:rPr>
          <w:rFonts w:ascii="宋体" w:hAnsi="宋体"/>
          <w:b/>
        </w:rPr>
        <w:t>5.3</w:t>
      </w:r>
      <w:r>
        <w:rPr>
          <w:rFonts w:hint="eastAsia" w:ascii="宋体" w:hAnsi="宋体"/>
          <w:b/>
        </w:rPr>
        <w:t>异议</w:t>
      </w:r>
      <w:bookmarkEnd w:id="307"/>
      <w:bookmarkEnd w:id="308"/>
      <w:bookmarkEnd w:id="309"/>
      <w:bookmarkEnd w:id="310"/>
      <w:bookmarkEnd w:id="311"/>
      <w:bookmarkEnd w:id="312"/>
      <w:bookmarkEnd w:id="313"/>
    </w:p>
    <w:p>
      <w:pPr>
        <w:pStyle w:val="21"/>
        <w:tabs>
          <w:tab w:val="left" w:pos="630"/>
        </w:tabs>
        <w:snapToGrid w:val="0"/>
        <w:spacing w:line="360" w:lineRule="auto"/>
        <w:ind w:firstLine="400" w:firstLineChars="200"/>
        <w:rPr>
          <w:rFonts w:hAnsi="宋体"/>
          <w:szCs w:val="21"/>
        </w:rPr>
      </w:pPr>
      <w:r>
        <w:rPr>
          <w:rFonts w:hAnsi="宋体"/>
          <w:szCs w:val="21"/>
        </w:rPr>
        <w:t>5.3.1</w:t>
      </w:r>
      <w:r>
        <w:rPr>
          <w:rFonts w:hint="eastAsia" w:hAnsi="宋体"/>
          <w:szCs w:val="21"/>
        </w:rPr>
        <w:t>投标人对开标有异议的，应当在开标现场提出，招标人应当场作出答复，并制作记录。</w:t>
      </w:r>
    </w:p>
    <w:p>
      <w:pPr>
        <w:pStyle w:val="21"/>
        <w:tabs>
          <w:tab w:val="left" w:pos="630"/>
        </w:tabs>
        <w:snapToGrid w:val="0"/>
        <w:spacing w:line="360" w:lineRule="auto"/>
        <w:ind w:firstLine="400" w:firstLineChars="200"/>
        <w:rPr>
          <w:rFonts w:hAnsi="宋体"/>
          <w:szCs w:val="21"/>
        </w:rPr>
      </w:pPr>
      <w:r>
        <w:rPr>
          <w:rFonts w:hAnsi="宋体"/>
          <w:szCs w:val="21"/>
        </w:rPr>
        <w:t>5.3.2</w:t>
      </w:r>
      <w:r>
        <w:rPr>
          <w:rFonts w:hint="eastAsia" w:hAnsi="宋体"/>
          <w:szCs w:val="21"/>
        </w:rPr>
        <w:t>投标人认为存在低于成本价投标情形的，可以在开标现场提出异议，并在评标完成前向招标人递交书面材料，招标人应当及时将书面材料转交评标委员会。</w:t>
      </w:r>
    </w:p>
    <w:p>
      <w:pPr>
        <w:spacing w:line="360" w:lineRule="auto"/>
        <w:outlineLvl w:val="1"/>
        <w:rPr>
          <w:rFonts w:ascii="宋体"/>
          <w:b/>
        </w:rPr>
      </w:pPr>
      <w:bookmarkStart w:id="314" w:name="_Toc21289"/>
      <w:bookmarkStart w:id="315" w:name="_Toc10210445"/>
      <w:bookmarkStart w:id="316" w:name="_Toc8657499"/>
      <w:r>
        <w:rPr>
          <w:rFonts w:ascii="宋体" w:hAnsi="宋体"/>
          <w:b/>
        </w:rPr>
        <w:t>6.</w:t>
      </w:r>
      <w:r>
        <w:rPr>
          <w:rFonts w:hint="eastAsia" w:ascii="宋体" w:hAnsi="宋体"/>
          <w:b/>
        </w:rPr>
        <w:t>评标</w:t>
      </w:r>
      <w:bookmarkEnd w:id="293"/>
      <w:bookmarkEnd w:id="294"/>
      <w:bookmarkEnd w:id="295"/>
      <w:bookmarkEnd w:id="296"/>
      <w:bookmarkEnd w:id="297"/>
      <w:bookmarkEnd w:id="298"/>
      <w:bookmarkEnd w:id="299"/>
      <w:bookmarkEnd w:id="300"/>
      <w:bookmarkEnd w:id="301"/>
      <w:bookmarkEnd w:id="302"/>
      <w:bookmarkEnd w:id="303"/>
      <w:bookmarkEnd w:id="314"/>
      <w:bookmarkEnd w:id="315"/>
      <w:bookmarkEnd w:id="316"/>
    </w:p>
    <w:p>
      <w:pPr>
        <w:spacing w:line="360" w:lineRule="auto"/>
        <w:outlineLvl w:val="2"/>
        <w:rPr>
          <w:rFonts w:ascii="宋体"/>
          <w:b/>
        </w:rPr>
      </w:pPr>
      <w:bookmarkStart w:id="317" w:name="_Toc447265537"/>
      <w:bookmarkStart w:id="318" w:name="_Toc32290"/>
      <w:bookmarkStart w:id="319" w:name="_Toc447188700"/>
      <w:bookmarkStart w:id="320" w:name="_Toc8657500"/>
      <w:bookmarkStart w:id="321" w:name="_Toc10210446"/>
      <w:bookmarkStart w:id="322" w:name="_Toc447265251"/>
      <w:r>
        <w:rPr>
          <w:rFonts w:ascii="宋体" w:hAnsi="宋体"/>
          <w:b/>
        </w:rPr>
        <w:t>6.1</w:t>
      </w:r>
      <w:r>
        <w:rPr>
          <w:rFonts w:hint="eastAsia" w:ascii="宋体" w:hAnsi="宋体"/>
          <w:b/>
        </w:rPr>
        <w:t>评标委员会</w:t>
      </w:r>
      <w:bookmarkEnd w:id="304"/>
      <w:bookmarkEnd w:id="305"/>
      <w:bookmarkEnd w:id="306"/>
      <w:bookmarkEnd w:id="317"/>
      <w:bookmarkEnd w:id="318"/>
      <w:bookmarkEnd w:id="319"/>
      <w:bookmarkEnd w:id="320"/>
      <w:bookmarkEnd w:id="321"/>
      <w:bookmarkEnd w:id="322"/>
    </w:p>
    <w:p>
      <w:pPr>
        <w:pStyle w:val="21"/>
        <w:tabs>
          <w:tab w:val="left" w:pos="630"/>
        </w:tabs>
        <w:snapToGrid w:val="0"/>
        <w:spacing w:line="360" w:lineRule="auto"/>
        <w:ind w:firstLine="400" w:firstLineChars="200"/>
        <w:rPr>
          <w:rFonts w:hAnsi="宋体"/>
          <w:szCs w:val="21"/>
        </w:rPr>
      </w:pPr>
      <w:bookmarkStart w:id="323" w:name="_Toc447265255"/>
      <w:bookmarkStart w:id="324" w:name="_Toc447265541"/>
      <w:bookmarkStart w:id="325" w:name="_Toc447188703"/>
      <w:bookmarkStart w:id="326" w:name="_Toc226969309"/>
      <w:bookmarkStart w:id="327" w:name="_Toc488655860"/>
      <w:bookmarkStart w:id="328" w:name="_Toc227057915"/>
      <w:bookmarkStart w:id="329" w:name="_Toc107822516"/>
      <w:r>
        <w:rPr>
          <w:rFonts w:hAnsi="宋体"/>
          <w:szCs w:val="21"/>
        </w:rPr>
        <w:t>6.1.1</w:t>
      </w:r>
      <w:r>
        <w:rPr>
          <w:rFonts w:hint="eastAsia" w:hAnsi="宋体"/>
          <w:szCs w:val="21"/>
        </w:rPr>
        <w:t>评标由依法组建的评标委员会负责，具体人数见投标人须知前附表。</w:t>
      </w:r>
    </w:p>
    <w:p>
      <w:pPr>
        <w:pStyle w:val="21"/>
        <w:tabs>
          <w:tab w:val="left" w:pos="630"/>
        </w:tabs>
        <w:snapToGrid w:val="0"/>
        <w:spacing w:line="360" w:lineRule="auto"/>
        <w:ind w:firstLine="400" w:firstLineChars="200"/>
        <w:rPr>
          <w:rFonts w:hAnsi="宋体"/>
          <w:szCs w:val="21"/>
        </w:rPr>
      </w:pPr>
      <w:r>
        <w:rPr>
          <w:rFonts w:hAnsi="宋体"/>
          <w:szCs w:val="21"/>
        </w:rPr>
        <w:t>6.1.2</w:t>
      </w:r>
      <w:r>
        <w:rPr>
          <w:rFonts w:hint="eastAsia" w:hAnsi="宋体"/>
          <w:szCs w:val="21"/>
        </w:rPr>
        <w:t>评标期间，任何单位和个人不得非法干预或者影响评标的过程和结果。</w:t>
      </w:r>
    </w:p>
    <w:p>
      <w:pPr>
        <w:pStyle w:val="21"/>
        <w:tabs>
          <w:tab w:val="left" w:pos="630"/>
        </w:tabs>
        <w:snapToGrid w:val="0"/>
        <w:spacing w:line="360" w:lineRule="auto"/>
        <w:ind w:firstLine="400" w:firstLineChars="200"/>
        <w:rPr>
          <w:rFonts w:hAnsi="宋体"/>
          <w:szCs w:val="21"/>
        </w:rPr>
      </w:pPr>
      <w:r>
        <w:rPr>
          <w:rFonts w:hAnsi="宋体"/>
          <w:szCs w:val="21"/>
        </w:rPr>
        <w:t>6.1.3</w:t>
      </w:r>
      <w:r>
        <w:rPr>
          <w:rFonts w:hint="eastAsia" w:hAnsi="宋体"/>
          <w:szCs w:val="21"/>
        </w:rPr>
        <w:t>评标委员会成员名单在中标结果确定前保密。</w:t>
      </w:r>
    </w:p>
    <w:p>
      <w:pPr>
        <w:spacing w:line="360" w:lineRule="auto"/>
        <w:outlineLvl w:val="2"/>
        <w:rPr>
          <w:rFonts w:ascii="宋体"/>
          <w:b/>
        </w:rPr>
      </w:pPr>
      <w:bookmarkStart w:id="330" w:name="_Toc179632582"/>
      <w:bookmarkStart w:id="331" w:name="_Toc450489311"/>
      <w:bookmarkStart w:id="332" w:name="_Toc246996208"/>
      <w:bookmarkStart w:id="333" w:name="_Toc247085722"/>
      <w:bookmarkStart w:id="334" w:name="_Toc14343"/>
      <w:bookmarkStart w:id="335" w:name="_Toc152042340"/>
      <w:bookmarkStart w:id="336" w:name="_Toc144974532"/>
      <w:bookmarkStart w:id="337" w:name="_Toc152045564"/>
      <w:bookmarkStart w:id="338" w:name="_Toc10210447"/>
      <w:bookmarkStart w:id="339" w:name="_Toc296602453"/>
      <w:bookmarkStart w:id="340" w:name="_Toc447265538"/>
      <w:bookmarkStart w:id="341" w:name="_Toc447265252"/>
      <w:bookmarkStart w:id="342" w:name="_Toc8657501"/>
      <w:bookmarkStart w:id="343" w:name="_Toc246996951"/>
      <w:r>
        <w:rPr>
          <w:rFonts w:ascii="宋体" w:hAnsi="宋体"/>
          <w:b/>
        </w:rPr>
        <w:t>6.2</w:t>
      </w:r>
      <w:r>
        <w:rPr>
          <w:rFonts w:hint="eastAsia" w:ascii="宋体" w:hAnsi="宋体"/>
          <w:b/>
        </w:rPr>
        <w:t>评标原则</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21"/>
        <w:tabs>
          <w:tab w:val="left" w:pos="630"/>
        </w:tabs>
        <w:snapToGrid w:val="0"/>
        <w:spacing w:line="360" w:lineRule="auto"/>
        <w:ind w:firstLine="400" w:firstLineChars="200"/>
        <w:rPr>
          <w:rFonts w:hAnsi="宋体"/>
          <w:szCs w:val="21"/>
        </w:rPr>
      </w:pPr>
      <w:r>
        <w:rPr>
          <w:rFonts w:hAnsi="宋体"/>
          <w:szCs w:val="21"/>
        </w:rPr>
        <w:t>6.2.1</w:t>
      </w:r>
      <w:r>
        <w:rPr>
          <w:rFonts w:hint="eastAsia" w:hAnsi="宋体"/>
          <w:szCs w:val="21"/>
        </w:rPr>
        <w:t>评标活动遵循公平、公正、科学和择优的原则。</w:t>
      </w:r>
    </w:p>
    <w:p>
      <w:pPr>
        <w:spacing w:line="360" w:lineRule="auto"/>
        <w:outlineLvl w:val="2"/>
        <w:rPr>
          <w:rFonts w:ascii="宋体"/>
          <w:b/>
        </w:rPr>
      </w:pPr>
      <w:bookmarkStart w:id="344" w:name="_Toc447188701"/>
      <w:bookmarkStart w:id="345" w:name="_Toc450489312"/>
      <w:bookmarkStart w:id="346" w:name="_Toc447265539"/>
      <w:bookmarkStart w:id="347" w:name="_Toc23324"/>
      <w:bookmarkStart w:id="348" w:name="_Toc8657502"/>
      <w:bookmarkStart w:id="349" w:name="_Toc447265253"/>
      <w:bookmarkStart w:id="350" w:name="_Toc10210448"/>
      <w:r>
        <w:rPr>
          <w:rFonts w:ascii="宋体" w:hAnsi="宋体"/>
          <w:b/>
        </w:rPr>
        <w:t>6.3</w:t>
      </w:r>
      <w:r>
        <w:rPr>
          <w:rFonts w:hint="eastAsia" w:ascii="宋体" w:hAnsi="宋体"/>
          <w:b/>
        </w:rPr>
        <w:t>评标方法</w:t>
      </w:r>
      <w:bookmarkEnd w:id="344"/>
      <w:bookmarkEnd w:id="345"/>
      <w:bookmarkEnd w:id="346"/>
      <w:bookmarkEnd w:id="347"/>
      <w:bookmarkEnd w:id="348"/>
      <w:bookmarkEnd w:id="349"/>
      <w:bookmarkEnd w:id="350"/>
    </w:p>
    <w:p>
      <w:pPr>
        <w:pStyle w:val="21"/>
        <w:tabs>
          <w:tab w:val="left" w:pos="630"/>
        </w:tabs>
        <w:snapToGrid w:val="0"/>
        <w:spacing w:line="360" w:lineRule="auto"/>
        <w:ind w:firstLine="400" w:firstLineChars="200"/>
        <w:rPr>
          <w:rFonts w:hAnsi="宋体"/>
          <w:szCs w:val="21"/>
        </w:rPr>
      </w:pPr>
      <w:r>
        <w:rPr>
          <w:rFonts w:hAnsi="宋体"/>
          <w:szCs w:val="21"/>
        </w:rPr>
        <w:t>6.3.1</w:t>
      </w:r>
      <w:r>
        <w:rPr>
          <w:rFonts w:hint="eastAsia" w:hAnsi="宋体"/>
          <w:szCs w:val="21"/>
        </w:rPr>
        <w:t>本项目评标采用综合评标法。</w:t>
      </w:r>
    </w:p>
    <w:p>
      <w:pPr>
        <w:spacing w:line="360" w:lineRule="auto"/>
        <w:outlineLvl w:val="2"/>
        <w:rPr>
          <w:rFonts w:ascii="宋体"/>
          <w:b/>
        </w:rPr>
      </w:pPr>
      <w:bookmarkStart w:id="351" w:name="_Toc15361"/>
      <w:bookmarkStart w:id="352" w:name="_Toc10210449"/>
      <w:bookmarkStart w:id="353" w:name="_Toc447188702"/>
      <w:bookmarkStart w:id="354" w:name="_Toc447265254"/>
      <w:bookmarkStart w:id="355" w:name="_Toc447265540"/>
      <w:bookmarkStart w:id="356" w:name="_Toc246996210"/>
      <w:bookmarkStart w:id="357" w:name="_Toc247085724"/>
      <w:bookmarkStart w:id="358" w:name="_Toc144974534"/>
      <w:bookmarkStart w:id="359" w:name="_Toc179632584"/>
      <w:bookmarkStart w:id="360" w:name="_Toc296602455"/>
      <w:bookmarkStart w:id="361" w:name="_Toc152045566"/>
      <w:bookmarkStart w:id="362" w:name="_Toc152042342"/>
      <w:bookmarkStart w:id="363" w:name="_Toc246996953"/>
      <w:r>
        <w:rPr>
          <w:rFonts w:ascii="宋体" w:hAnsi="宋体"/>
          <w:b/>
        </w:rPr>
        <w:t>6.4</w:t>
      </w:r>
      <w:r>
        <w:rPr>
          <w:rFonts w:hint="eastAsia" w:ascii="宋体" w:hAnsi="宋体"/>
          <w:b/>
        </w:rPr>
        <w:t>投标文件的澄清</w:t>
      </w:r>
      <w:bookmarkEnd w:id="351"/>
      <w:bookmarkEnd w:id="352"/>
    </w:p>
    <w:p>
      <w:pPr>
        <w:pStyle w:val="21"/>
        <w:tabs>
          <w:tab w:val="left" w:pos="630"/>
        </w:tabs>
        <w:snapToGrid w:val="0"/>
        <w:spacing w:line="360" w:lineRule="auto"/>
        <w:ind w:firstLine="400" w:firstLineChars="200"/>
        <w:rPr>
          <w:rFonts w:hAnsi="宋体"/>
          <w:szCs w:val="21"/>
        </w:rPr>
      </w:pPr>
      <w:r>
        <w:rPr>
          <w:rFonts w:hint="eastAsia" w:hAnsi="宋体"/>
          <w:szCs w:val="21"/>
        </w:rPr>
        <w:t>为有助于投标文件的审查、评价和比较，评标委员会可以书面形式个别的要求投标人对投标文件含义不明确的内容做必要的澄清或说明，投标人应采用书面形式进行澄清或说明，但不允许更改投标文件的实质性内容。</w:t>
      </w:r>
    </w:p>
    <w:p>
      <w:pPr>
        <w:spacing w:line="360" w:lineRule="auto"/>
        <w:outlineLvl w:val="2"/>
        <w:rPr>
          <w:rFonts w:ascii="宋体"/>
          <w:b/>
        </w:rPr>
      </w:pPr>
      <w:bookmarkStart w:id="364" w:name="_Toc450489313"/>
      <w:bookmarkStart w:id="365" w:name="_Toc17816"/>
      <w:bookmarkStart w:id="366" w:name="_Toc8657503"/>
      <w:bookmarkStart w:id="367" w:name="_Toc10210450"/>
      <w:r>
        <w:rPr>
          <w:rFonts w:ascii="宋体" w:hAnsi="宋体"/>
          <w:b/>
        </w:rPr>
        <w:t>6.5</w:t>
      </w:r>
      <w:r>
        <w:rPr>
          <w:rFonts w:hint="eastAsia" w:ascii="宋体" w:hAnsi="宋体"/>
          <w:b/>
        </w:rPr>
        <w:t>中标候选人推荐原则</w:t>
      </w:r>
      <w:bookmarkEnd w:id="364"/>
      <w:bookmarkEnd w:id="365"/>
      <w:bookmarkEnd w:id="366"/>
      <w:bookmarkEnd w:id="367"/>
    </w:p>
    <w:p>
      <w:pPr>
        <w:pStyle w:val="21"/>
        <w:tabs>
          <w:tab w:val="left" w:pos="630"/>
        </w:tabs>
        <w:snapToGrid w:val="0"/>
        <w:spacing w:line="360" w:lineRule="auto"/>
        <w:ind w:firstLine="400" w:firstLineChars="200"/>
        <w:rPr>
          <w:rFonts w:hAnsi="宋体"/>
          <w:szCs w:val="21"/>
        </w:rPr>
      </w:pPr>
      <w:r>
        <w:rPr>
          <w:rFonts w:hint="eastAsia" w:hAnsi="宋体"/>
          <w:szCs w:val="21"/>
        </w:rPr>
        <w:t>评标委员会应当根据《</w:t>
      </w:r>
      <w:r>
        <w:rPr>
          <w:rFonts w:hint="eastAsia"/>
          <w:kern w:val="2"/>
          <w:sz w:val="21"/>
          <w:szCs w:val="21"/>
        </w:rPr>
        <w:t>中华人民共和国招标投标法</w:t>
      </w:r>
      <w:r>
        <w:rPr>
          <w:rFonts w:hint="eastAsia" w:hAnsi="宋体"/>
          <w:szCs w:val="21"/>
        </w:rPr>
        <w:t>》的有关规定推荐中标候选人，具体推荐原则见投标人须知前附表。</w:t>
      </w:r>
    </w:p>
    <w:p>
      <w:pPr>
        <w:spacing w:line="360" w:lineRule="auto"/>
        <w:outlineLvl w:val="2"/>
        <w:rPr>
          <w:rFonts w:ascii="宋体"/>
          <w:b/>
        </w:rPr>
      </w:pPr>
      <w:bookmarkStart w:id="368" w:name="_Toc8657504"/>
      <w:bookmarkStart w:id="369" w:name="_Toc17390"/>
      <w:bookmarkStart w:id="370" w:name="_Toc10210451"/>
      <w:bookmarkStart w:id="371" w:name="_Toc450489314"/>
      <w:r>
        <w:rPr>
          <w:rFonts w:ascii="宋体" w:hAnsi="宋体"/>
          <w:b/>
        </w:rPr>
        <w:t>6.6</w:t>
      </w:r>
      <w:r>
        <w:rPr>
          <w:rFonts w:hint="eastAsia" w:ascii="宋体" w:hAnsi="宋体"/>
          <w:b/>
        </w:rPr>
        <w:t>评标报告</w:t>
      </w:r>
      <w:bookmarkEnd w:id="353"/>
      <w:bookmarkEnd w:id="354"/>
      <w:bookmarkEnd w:id="355"/>
      <w:bookmarkEnd w:id="368"/>
      <w:bookmarkEnd w:id="369"/>
      <w:bookmarkEnd w:id="370"/>
      <w:bookmarkEnd w:id="371"/>
    </w:p>
    <w:p>
      <w:pPr>
        <w:pStyle w:val="21"/>
        <w:tabs>
          <w:tab w:val="left" w:pos="630"/>
        </w:tabs>
        <w:snapToGrid w:val="0"/>
        <w:spacing w:line="360" w:lineRule="auto"/>
        <w:ind w:firstLine="400" w:firstLineChars="200"/>
        <w:rPr>
          <w:rFonts w:hAnsi="宋体"/>
          <w:szCs w:val="21"/>
        </w:rPr>
      </w:pPr>
      <w:r>
        <w:rPr>
          <w:rFonts w:hint="eastAsia" w:hAnsi="宋体"/>
          <w:szCs w:val="21"/>
        </w:rPr>
        <w:t>评标完成后，评标委员会应当根据《</w:t>
      </w:r>
      <w:r>
        <w:rPr>
          <w:rFonts w:hint="eastAsia"/>
          <w:kern w:val="2"/>
          <w:sz w:val="21"/>
          <w:szCs w:val="21"/>
        </w:rPr>
        <w:t>中华人民共和国招标投标法</w:t>
      </w:r>
      <w:r>
        <w:rPr>
          <w:rFonts w:hint="eastAsia" w:hAnsi="宋体"/>
          <w:szCs w:val="21"/>
        </w:rPr>
        <w:t>》的有关规定及时向招标人提交评标报告和中标候选人名单。</w:t>
      </w:r>
    </w:p>
    <w:bookmarkEnd w:id="356"/>
    <w:bookmarkEnd w:id="357"/>
    <w:bookmarkEnd w:id="358"/>
    <w:bookmarkEnd w:id="359"/>
    <w:bookmarkEnd w:id="360"/>
    <w:bookmarkEnd w:id="361"/>
    <w:bookmarkEnd w:id="362"/>
    <w:bookmarkEnd w:id="363"/>
    <w:p>
      <w:pPr>
        <w:spacing w:line="360" w:lineRule="auto"/>
        <w:outlineLvl w:val="1"/>
        <w:rPr>
          <w:rFonts w:ascii="宋体"/>
          <w:b/>
        </w:rPr>
      </w:pPr>
      <w:bookmarkStart w:id="372" w:name="_Toc22475"/>
      <w:bookmarkStart w:id="373" w:name="_Toc8657505"/>
      <w:bookmarkStart w:id="374" w:name="_Toc10210452"/>
      <w:r>
        <w:rPr>
          <w:rFonts w:ascii="宋体" w:hAnsi="宋体"/>
          <w:b/>
        </w:rPr>
        <w:t>7.</w:t>
      </w:r>
      <w:r>
        <w:rPr>
          <w:rFonts w:hint="eastAsia" w:ascii="宋体" w:hAnsi="宋体"/>
          <w:b/>
        </w:rPr>
        <w:t>中标</w:t>
      </w:r>
      <w:bookmarkEnd w:id="323"/>
      <w:bookmarkEnd w:id="324"/>
      <w:bookmarkEnd w:id="325"/>
      <w:bookmarkEnd w:id="372"/>
      <w:bookmarkEnd w:id="373"/>
      <w:bookmarkEnd w:id="374"/>
    </w:p>
    <w:p>
      <w:pPr>
        <w:spacing w:line="360" w:lineRule="auto"/>
        <w:outlineLvl w:val="2"/>
        <w:rPr>
          <w:rFonts w:ascii="宋体"/>
          <w:b/>
        </w:rPr>
      </w:pPr>
      <w:bookmarkStart w:id="375" w:name="_Toc447265542"/>
      <w:bookmarkStart w:id="376" w:name="_Toc3841"/>
      <w:bookmarkStart w:id="377" w:name="_Toc447188704"/>
      <w:bookmarkStart w:id="378" w:name="_Toc10210453"/>
      <w:bookmarkStart w:id="379" w:name="_Toc8657506"/>
      <w:bookmarkStart w:id="380" w:name="_Toc447265256"/>
      <w:r>
        <w:rPr>
          <w:rFonts w:ascii="宋体" w:hAnsi="宋体"/>
          <w:b/>
        </w:rPr>
        <w:t>7.1</w:t>
      </w:r>
      <w:r>
        <w:rPr>
          <w:rFonts w:hint="eastAsia" w:ascii="宋体" w:hAnsi="宋体"/>
          <w:b/>
        </w:rPr>
        <w:t>中标候选人公示</w:t>
      </w:r>
      <w:bookmarkEnd w:id="375"/>
      <w:bookmarkEnd w:id="376"/>
      <w:bookmarkEnd w:id="377"/>
      <w:bookmarkEnd w:id="378"/>
      <w:bookmarkEnd w:id="379"/>
      <w:bookmarkEnd w:id="380"/>
    </w:p>
    <w:p>
      <w:pPr>
        <w:pStyle w:val="21"/>
        <w:tabs>
          <w:tab w:val="left" w:pos="630"/>
        </w:tabs>
        <w:snapToGrid w:val="0"/>
        <w:spacing w:line="360" w:lineRule="auto"/>
        <w:ind w:firstLine="400" w:firstLineChars="200"/>
        <w:rPr>
          <w:rFonts w:hint="eastAsia" w:hAnsi="宋体"/>
          <w:szCs w:val="21"/>
        </w:rPr>
      </w:pPr>
      <w:r>
        <w:rPr>
          <w:rFonts w:hAnsi="宋体"/>
          <w:szCs w:val="21"/>
        </w:rPr>
        <w:t>7.1.1</w:t>
      </w:r>
      <w:r>
        <w:rPr>
          <w:rFonts w:hint="eastAsia" w:hAnsi="宋体"/>
          <w:szCs w:val="21"/>
        </w:rPr>
        <w:t>招标人不对未中标人就评标过程以及未能中标原因做出任何解释。</w:t>
      </w:r>
      <w:bookmarkEnd w:id="326"/>
      <w:bookmarkEnd w:id="327"/>
      <w:bookmarkEnd w:id="328"/>
      <w:bookmarkEnd w:id="329"/>
      <w:bookmarkStart w:id="381" w:name="_Toc447265545"/>
      <w:bookmarkStart w:id="382" w:name="_Toc447265259"/>
      <w:bookmarkStart w:id="383" w:name="_Toc226969310"/>
      <w:bookmarkStart w:id="384" w:name="_Toc152045569"/>
      <w:bookmarkStart w:id="385" w:name="_Toc227057916"/>
      <w:bookmarkStart w:id="386" w:name="_Toc246996956"/>
      <w:bookmarkStart w:id="387" w:name="_Toc107822517"/>
      <w:bookmarkStart w:id="388" w:name="_Toc144974537"/>
      <w:bookmarkStart w:id="389" w:name="_Toc179632587"/>
      <w:bookmarkStart w:id="390" w:name="_Toc296602459"/>
      <w:bookmarkStart w:id="391" w:name="_Toc247085727"/>
      <w:bookmarkStart w:id="392" w:name="_Toc246996213"/>
      <w:bookmarkStart w:id="393" w:name="_Toc152042345"/>
    </w:p>
    <w:p>
      <w:pPr>
        <w:pStyle w:val="21"/>
        <w:tabs>
          <w:tab w:val="left" w:pos="630"/>
        </w:tabs>
        <w:snapToGrid w:val="0"/>
        <w:spacing w:line="360" w:lineRule="auto"/>
        <w:ind w:firstLine="400" w:firstLineChars="200"/>
        <w:rPr>
          <w:rFonts w:hAnsi="宋体"/>
          <w:szCs w:val="21"/>
        </w:rPr>
      </w:pPr>
      <w:r>
        <w:rPr>
          <w:rFonts w:hAnsi="宋体"/>
          <w:szCs w:val="21"/>
        </w:rPr>
        <w:t>7.1.2</w:t>
      </w:r>
      <w:r>
        <w:rPr>
          <w:rFonts w:hint="eastAsia" w:hAnsi="宋体"/>
          <w:szCs w:val="21"/>
        </w:rPr>
        <w:t>中标候选人将在“招标公告”发布媒介予以公示。</w:t>
      </w:r>
    </w:p>
    <w:p>
      <w:pPr>
        <w:pStyle w:val="21"/>
        <w:tabs>
          <w:tab w:val="left" w:pos="630"/>
        </w:tabs>
        <w:snapToGrid w:val="0"/>
        <w:spacing w:line="360" w:lineRule="auto"/>
        <w:ind w:firstLine="400" w:firstLineChars="200"/>
        <w:rPr>
          <w:rFonts w:hAnsi="宋体"/>
          <w:szCs w:val="21"/>
        </w:rPr>
      </w:pPr>
      <w:r>
        <w:rPr>
          <w:rFonts w:hAnsi="宋体"/>
          <w:szCs w:val="21"/>
        </w:rPr>
        <w:t>7.1.3</w:t>
      </w:r>
      <w:r>
        <w:rPr>
          <w:rFonts w:hint="eastAsia" w:hAnsi="宋体"/>
          <w:szCs w:val="21"/>
        </w:rPr>
        <w:t>投标人或者其他利害关系人对评标结果有异议的，应当在中标候选人公示期间提出。</w:t>
      </w:r>
    </w:p>
    <w:p>
      <w:pPr>
        <w:spacing w:line="360" w:lineRule="auto"/>
        <w:outlineLvl w:val="2"/>
        <w:rPr>
          <w:rFonts w:ascii="宋体"/>
          <w:b/>
        </w:rPr>
      </w:pPr>
      <w:bookmarkStart w:id="394" w:name="_Toc447265257"/>
      <w:bookmarkStart w:id="395" w:name="_Toc447265543"/>
      <w:bookmarkStart w:id="396" w:name="_Toc10210454"/>
      <w:bookmarkStart w:id="397" w:name="_Toc29355"/>
      <w:bookmarkStart w:id="398" w:name="_Toc447188705"/>
      <w:bookmarkStart w:id="399" w:name="_Toc8657507"/>
      <w:bookmarkStart w:id="400" w:name="_Toc450489317"/>
      <w:r>
        <w:rPr>
          <w:rFonts w:ascii="宋体" w:hAnsi="宋体"/>
          <w:b/>
        </w:rPr>
        <w:t>7.2</w:t>
      </w:r>
      <w:r>
        <w:rPr>
          <w:rFonts w:hint="eastAsia" w:ascii="宋体" w:hAnsi="宋体"/>
          <w:b/>
        </w:rPr>
        <w:t>确定中标人</w:t>
      </w:r>
      <w:bookmarkEnd w:id="394"/>
      <w:bookmarkEnd w:id="395"/>
      <w:bookmarkEnd w:id="396"/>
      <w:bookmarkEnd w:id="397"/>
      <w:bookmarkEnd w:id="398"/>
      <w:bookmarkEnd w:id="399"/>
      <w:bookmarkEnd w:id="400"/>
    </w:p>
    <w:p>
      <w:pPr>
        <w:pStyle w:val="21"/>
        <w:tabs>
          <w:tab w:val="left" w:pos="630"/>
        </w:tabs>
        <w:snapToGrid w:val="0"/>
        <w:spacing w:line="360" w:lineRule="auto"/>
        <w:ind w:firstLine="400" w:firstLineChars="200"/>
        <w:rPr>
          <w:rFonts w:hAnsi="宋体"/>
          <w:szCs w:val="21"/>
        </w:rPr>
      </w:pPr>
      <w:r>
        <w:rPr>
          <w:rFonts w:hAnsi="宋体"/>
          <w:szCs w:val="21"/>
        </w:rPr>
        <w:t>7.2.1</w:t>
      </w:r>
      <w:r>
        <w:rPr>
          <w:rFonts w:hint="eastAsia" w:hAnsi="宋体"/>
          <w:szCs w:val="21"/>
        </w:rPr>
        <w:t>招标人依据评标委员会推荐的中标候选人确定中标人，中标人数量见投标人须知前附表。</w:t>
      </w:r>
    </w:p>
    <w:p>
      <w:pPr>
        <w:pStyle w:val="21"/>
        <w:tabs>
          <w:tab w:val="left" w:pos="630"/>
        </w:tabs>
        <w:snapToGrid w:val="0"/>
        <w:spacing w:line="360" w:lineRule="auto"/>
        <w:ind w:firstLine="400" w:firstLineChars="200"/>
        <w:rPr>
          <w:rFonts w:hAnsi="宋体"/>
          <w:szCs w:val="21"/>
        </w:rPr>
      </w:pPr>
      <w:r>
        <w:rPr>
          <w:rFonts w:hAnsi="宋体"/>
          <w:szCs w:val="21"/>
        </w:rPr>
        <w:t>7.2.</w:t>
      </w:r>
      <w:r>
        <w:rPr>
          <w:rFonts w:hint="eastAsia" w:hAnsi="宋体"/>
          <w:szCs w:val="21"/>
        </w:rPr>
        <w:t>2在签订合同之前，中标人放弃中标或者不能履行合同的，招标人可以按照评标委员会提出的中标候选人名单排序依次确定其他中标候选人为中标人，也可以重新招标。</w:t>
      </w:r>
    </w:p>
    <w:p>
      <w:pPr>
        <w:spacing w:line="360" w:lineRule="auto"/>
        <w:outlineLvl w:val="2"/>
        <w:rPr>
          <w:rFonts w:ascii="宋体"/>
          <w:b/>
        </w:rPr>
      </w:pPr>
      <w:bookmarkStart w:id="401" w:name="_Toc447265258"/>
      <w:bookmarkStart w:id="402" w:name="_Toc152042344"/>
      <w:bookmarkStart w:id="403" w:name="_Toc18112"/>
      <w:bookmarkStart w:id="404" w:name="_Toc296602458"/>
      <w:bookmarkStart w:id="405" w:name="_Toc246996212"/>
      <w:bookmarkStart w:id="406" w:name="_Toc8657508"/>
      <w:bookmarkStart w:id="407" w:name="_Toc179632586"/>
      <w:bookmarkStart w:id="408" w:name="_Toc246996955"/>
      <w:bookmarkStart w:id="409" w:name="_Toc450489318"/>
      <w:bookmarkStart w:id="410" w:name="_Toc447265544"/>
      <w:bookmarkStart w:id="411" w:name="_Toc144974536"/>
      <w:bookmarkStart w:id="412" w:name="_Toc10210455"/>
      <w:bookmarkStart w:id="413" w:name="_Toc152045568"/>
      <w:bookmarkStart w:id="414" w:name="_Toc247085726"/>
      <w:bookmarkStart w:id="415" w:name="OLE_LINK6"/>
      <w:bookmarkStart w:id="416" w:name="OLE_LINK7"/>
      <w:r>
        <w:rPr>
          <w:rFonts w:ascii="宋体" w:hAnsi="宋体"/>
          <w:b/>
        </w:rPr>
        <w:t>7.3</w:t>
      </w:r>
      <w:r>
        <w:rPr>
          <w:rFonts w:hint="eastAsia" w:ascii="宋体" w:hAnsi="宋体"/>
          <w:b/>
        </w:rPr>
        <w:t>中标通知</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pStyle w:val="21"/>
        <w:tabs>
          <w:tab w:val="left" w:pos="630"/>
        </w:tabs>
        <w:snapToGrid w:val="0"/>
        <w:spacing w:line="360" w:lineRule="auto"/>
        <w:ind w:firstLine="400" w:firstLineChars="200"/>
        <w:rPr>
          <w:rFonts w:hAnsi="宋体"/>
          <w:szCs w:val="21"/>
        </w:rPr>
      </w:pPr>
      <w:r>
        <w:rPr>
          <w:rFonts w:hAnsi="宋体"/>
          <w:szCs w:val="21"/>
        </w:rPr>
        <w:t>7.3.1</w:t>
      </w:r>
      <w:r>
        <w:rPr>
          <w:rFonts w:hint="eastAsia" w:hAnsi="宋体"/>
          <w:szCs w:val="21"/>
        </w:rPr>
        <w:t>在中标通知书发出前，中标候选人的经营、财务状况发生较大变化或者存在违法行为，可能影响其履约能力的，投标人应当主动告知招标人。</w:t>
      </w:r>
      <w:bookmarkEnd w:id="415"/>
      <w:bookmarkEnd w:id="416"/>
    </w:p>
    <w:p>
      <w:pPr>
        <w:pStyle w:val="21"/>
        <w:tabs>
          <w:tab w:val="left" w:pos="630"/>
        </w:tabs>
        <w:snapToGrid w:val="0"/>
        <w:spacing w:line="360" w:lineRule="auto"/>
        <w:ind w:firstLine="400" w:firstLineChars="200"/>
        <w:rPr>
          <w:rFonts w:hAnsi="宋体"/>
          <w:szCs w:val="21"/>
        </w:rPr>
      </w:pPr>
      <w:r>
        <w:rPr>
          <w:rFonts w:hAnsi="宋体"/>
          <w:szCs w:val="21"/>
        </w:rPr>
        <w:t>7.3.2</w:t>
      </w:r>
      <w:r>
        <w:rPr>
          <w:rFonts w:hint="eastAsia" w:hAnsi="宋体"/>
          <w:szCs w:val="21"/>
        </w:rPr>
        <w:t>中标人确定后，招标人向中标人发出中标通知书。</w:t>
      </w:r>
    </w:p>
    <w:p>
      <w:pPr>
        <w:pStyle w:val="21"/>
        <w:tabs>
          <w:tab w:val="left" w:pos="630"/>
        </w:tabs>
        <w:snapToGrid w:val="0"/>
        <w:spacing w:line="360" w:lineRule="auto"/>
        <w:ind w:firstLine="400" w:firstLineChars="200"/>
        <w:rPr>
          <w:rFonts w:hAnsi="宋体"/>
          <w:szCs w:val="21"/>
        </w:rPr>
      </w:pPr>
      <w:r>
        <w:rPr>
          <w:rFonts w:hAnsi="宋体"/>
          <w:szCs w:val="21"/>
        </w:rPr>
        <w:t>7.3.3</w:t>
      </w:r>
      <w:r>
        <w:rPr>
          <w:rFonts w:hint="eastAsia" w:hAnsi="宋体"/>
          <w:szCs w:val="21"/>
        </w:rPr>
        <w:t>中标通知书是招标投标档案和合同的组成部分。</w:t>
      </w:r>
    </w:p>
    <w:p>
      <w:pPr>
        <w:pStyle w:val="21"/>
        <w:tabs>
          <w:tab w:val="left" w:pos="630"/>
        </w:tabs>
        <w:snapToGrid w:val="0"/>
        <w:spacing w:line="360" w:lineRule="auto"/>
        <w:ind w:firstLine="400" w:firstLineChars="200"/>
        <w:rPr>
          <w:rFonts w:hAnsi="宋体"/>
          <w:szCs w:val="21"/>
        </w:rPr>
      </w:pPr>
      <w:r>
        <w:rPr>
          <w:rFonts w:hAnsi="宋体"/>
          <w:szCs w:val="21"/>
        </w:rPr>
        <w:t>7.3.4</w:t>
      </w:r>
      <w:r>
        <w:rPr>
          <w:rFonts w:hint="eastAsia" w:hAnsi="宋体"/>
          <w:szCs w:val="21"/>
        </w:rPr>
        <w:t>中标通知书对招标人和中标人具有法律约束力。中标通知书发出后，招标人改变中标结果或者中标人放弃中标的，应当承担法律责任。</w:t>
      </w:r>
    </w:p>
    <w:p>
      <w:pPr>
        <w:spacing w:line="360" w:lineRule="auto"/>
        <w:outlineLvl w:val="1"/>
        <w:rPr>
          <w:rFonts w:ascii="宋体"/>
          <w:b/>
        </w:rPr>
      </w:pPr>
      <w:bookmarkStart w:id="417" w:name="_Toc8657509"/>
      <w:bookmarkStart w:id="418" w:name="_Toc15482"/>
      <w:bookmarkStart w:id="419" w:name="_Toc10210456"/>
      <w:r>
        <w:rPr>
          <w:rFonts w:ascii="宋体" w:hAnsi="宋体"/>
          <w:b/>
        </w:rPr>
        <w:t>8.</w:t>
      </w:r>
      <w:r>
        <w:rPr>
          <w:rFonts w:hint="eastAsia" w:ascii="宋体" w:hAnsi="宋体"/>
          <w:b/>
        </w:rPr>
        <w:t>合同签订</w:t>
      </w:r>
      <w:bookmarkEnd w:id="381"/>
      <w:bookmarkEnd w:id="382"/>
      <w:bookmarkEnd w:id="417"/>
      <w:bookmarkEnd w:id="418"/>
      <w:bookmarkEnd w:id="419"/>
    </w:p>
    <w:bookmarkEnd w:id="383"/>
    <w:bookmarkEnd w:id="384"/>
    <w:bookmarkEnd w:id="385"/>
    <w:bookmarkEnd w:id="386"/>
    <w:bookmarkEnd w:id="387"/>
    <w:bookmarkEnd w:id="388"/>
    <w:bookmarkEnd w:id="389"/>
    <w:bookmarkEnd w:id="390"/>
    <w:bookmarkEnd w:id="391"/>
    <w:bookmarkEnd w:id="392"/>
    <w:bookmarkEnd w:id="393"/>
    <w:p>
      <w:pPr>
        <w:pStyle w:val="21"/>
        <w:tabs>
          <w:tab w:val="left" w:pos="630"/>
        </w:tabs>
        <w:snapToGrid w:val="0"/>
        <w:spacing w:line="360" w:lineRule="auto"/>
        <w:ind w:firstLine="400" w:firstLineChars="200"/>
        <w:rPr>
          <w:rFonts w:hAnsi="宋体"/>
          <w:szCs w:val="21"/>
        </w:rPr>
      </w:pPr>
      <w:bookmarkStart w:id="420" w:name="_Toc227057918"/>
      <w:bookmarkStart w:id="421" w:name="_Toc226969312"/>
      <w:bookmarkStart w:id="422" w:name="_Toc447265549"/>
      <w:bookmarkStart w:id="423" w:name="_Toc107822519"/>
      <w:bookmarkStart w:id="424" w:name="_Toc488655867"/>
      <w:bookmarkStart w:id="425" w:name="_Toc447188707"/>
      <w:bookmarkStart w:id="426" w:name="_Toc447265263"/>
      <w:r>
        <w:rPr>
          <w:rFonts w:hAnsi="宋体"/>
          <w:szCs w:val="21"/>
        </w:rPr>
        <w:t>8.1</w:t>
      </w:r>
      <w:r>
        <w:rPr>
          <w:rFonts w:hint="eastAsia" w:hAnsi="宋体"/>
          <w:szCs w:val="21"/>
        </w:rPr>
        <w:t>招标人和中标人应当自中标通知书发出之日起</w:t>
      </w:r>
      <w:r>
        <w:rPr>
          <w:rFonts w:hAnsi="宋体"/>
          <w:szCs w:val="21"/>
        </w:rPr>
        <w:t>30</w:t>
      </w:r>
      <w:r>
        <w:rPr>
          <w:rFonts w:hint="eastAsia" w:hAnsi="宋体"/>
          <w:szCs w:val="21"/>
        </w:rPr>
        <w:t>日内，根据招标文件和中标人的投标文件订立书面合同。招标人和中标人不得订立背离合同实质性内容的其他协议。</w:t>
      </w:r>
    </w:p>
    <w:p>
      <w:pPr>
        <w:pStyle w:val="21"/>
        <w:tabs>
          <w:tab w:val="left" w:pos="630"/>
        </w:tabs>
        <w:snapToGrid w:val="0"/>
        <w:spacing w:line="360" w:lineRule="auto"/>
        <w:ind w:firstLine="400" w:firstLineChars="200"/>
        <w:rPr>
          <w:rFonts w:hAnsi="宋体"/>
          <w:szCs w:val="21"/>
        </w:rPr>
      </w:pPr>
      <w:r>
        <w:rPr>
          <w:rFonts w:hAnsi="宋体"/>
          <w:szCs w:val="21"/>
        </w:rPr>
        <w:t>8.2</w:t>
      </w:r>
      <w:r>
        <w:rPr>
          <w:rFonts w:hint="eastAsia" w:hAnsi="宋体"/>
          <w:szCs w:val="21"/>
        </w:rPr>
        <w:t>中标人无正当理由拒签合同的，招标人取消其中标资格。</w:t>
      </w:r>
    </w:p>
    <w:bookmarkEnd w:id="420"/>
    <w:bookmarkEnd w:id="421"/>
    <w:bookmarkEnd w:id="422"/>
    <w:bookmarkEnd w:id="423"/>
    <w:bookmarkEnd w:id="424"/>
    <w:bookmarkEnd w:id="425"/>
    <w:bookmarkEnd w:id="426"/>
    <w:p>
      <w:pPr>
        <w:spacing w:line="360" w:lineRule="auto"/>
        <w:outlineLvl w:val="1"/>
        <w:rPr>
          <w:rFonts w:ascii="宋体"/>
          <w:b/>
        </w:rPr>
      </w:pPr>
      <w:bookmarkStart w:id="427" w:name="_Toc8657513"/>
      <w:bookmarkStart w:id="428" w:name="_Toc447265264"/>
      <w:bookmarkStart w:id="429" w:name="_Toc447188708"/>
      <w:bookmarkStart w:id="430" w:name="_Toc296602461"/>
      <w:bookmarkStart w:id="431" w:name="_Toc447265550"/>
      <w:bookmarkStart w:id="432" w:name="_Toc30669"/>
      <w:bookmarkStart w:id="433" w:name="_Toc10210458"/>
      <w:r>
        <w:rPr>
          <w:rFonts w:ascii="宋体" w:hAnsi="宋体"/>
          <w:b/>
        </w:rPr>
        <w:t>9.</w:t>
      </w:r>
      <w:r>
        <w:rPr>
          <w:rFonts w:hint="eastAsia" w:ascii="宋体" w:hAnsi="宋体"/>
          <w:b/>
        </w:rPr>
        <w:t>纪律和监督</w:t>
      </w:r>
      <w:bookmarkEnd w:id="427"/>
      <w:bookmarkEnd w:id="428"/>
      <w:bookmarkEnd w:id="429"/>
      <w:bookmarkEnd w:id="430"/>
      <w:bookmarkEnd w:id="431"/>
      <w:bookmarkEnd w:id="432"/>
      <w:bookmarkEnd w:id="433"/>
    </w:p>
    <w:p>
      <w:pPr>
        <w:spacing w:line="360" w:lineRule="auto"/>
        <w:outlineLvl w:val="2"/>
        <w:rPr>
          <w:rFonts w:ascii="宋体"/>
          <w:b/>
        </w:rPr>
      </w:pPr>
      <w:bookmarkStart w:id="434" w:name="_Toc247085733"/>
      <w:bookmarkStart w:id="435" w:name="_Toc296590983"/>
      <w:bookmarkStart w:id="436" w:name="_Toc22781"/>
      <w:bookmarkStart w:id="437" w:name="_Toc144974543"/>
      <w:bookmarkStart w:id="438" w:name="_Toc8657514"/>
      <w:bookmarkStart w:id="439" w:name="_Toc447265265"/>
      <w:bookmarkStart w:id="440" w:name="_Toc152042351"/>
      <w:bookmarkStart w:id="441" w:name="_Toc246996962"/>
      <w:bookmarkStart w:id="442" w:name="_Toc447265551"/>
      <w:bookmarkStart w:id="443" w:name="_Toc179632593"/>
      <w:bookmarkStart w:id="444" w:name="_Toc10210459"/>
      <w:bookmarkStart w:id="445" w:name="_Toc296602462"/>
      <w:bookmarkStart w:id="446" w:name="_Toc246996219"/>
      <w:bookmarkStart w:id="447" w:name="_Toc152045575"/>
      <w:r>
        <w:rPr>
          <w:rFonts w:ascii="宋体" w:hAnsi="宋体"/>
          <w:b/>
        </w:rPr>
        <w:t>9.1</w:t>
      </w:r>
      <w:r>
        <w:rPr>
          <w:rFonts w:hint="eastAsia" w:ascii="宋体" w:hAnsi="宋体"/>
          <w:b/>
        </w:rPr>
        <w:t>对招标人的纪律要求</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pStyle w:val="21"/>
        <w:tabs>
          <w:tab w:val="left" w:pos="630"/>
        </w:tabs>
        <w:snapToGrid w:val="0"/>
        <w:spacing w:line="360" w:lineRule="auto"/>
        <w:ind w:firstLine="400" w:firstLineChars="200"/>
        <w:rPr>
          <w:rFonts w:hAnsi="宋体"/>
          <w:szCs w:val="21"/>
        </w:rPr>
      </w:pPr>
      <w:r>
        <w:rPr>
          <w:rFonts w:hint="eastAsia" w:hAnsi="宋体"/>
          <w:szCs w:val="21"/>
        </w:rPr>
        <w:t>招标人不得泄漏招标投标活动中应当保密的情况和资料，不得与投标人串通损害国家利益、社会公共利益或者他人合法权益。</w:t>
      </w:r>
    </w:p>
    <w:p>
      <w:pPr>
        <w:spacing w:line="360" w:lineRule="auto"/>
        <w:outlineLvl w:val="2"/>
        <w:rPr>
          <w:rFonts w:ascii="宋体"/>
          <w:b/>
        </w:rPr>
      </w:pPr>
      <w:bookmarkStart w:id="448" w:name="_Toc10210460"/>
      <w:bookmarkStart w:id="449" w:name="_Toc246996220"/>
      <w:bookmarkStart w:id="450" w:name="_Toc296602463"/>
      <w:bookmarkStart w:id="451" w:name="_Toc179632594"/>
      <w:bookmarkStart w:id="452" w:name="_Toc152042352"/>
      <w:bookmarkStart w:id="453" w:name="_Toc246996963"/>
      <w:bookmarkStart w:id="454" w:name="_Toc152045576"/>
      <w:bookmarkStart w:id="455" w:name="_Toc247085734"/>
      <w:bookmarkStart w:id="456" w:name="_Toc144974544"/>
      <w:bookmarkStart w:id="457" w:name="_Toc447265552"/>
      <w:bookmarkStart w:id="458" w:name="_Toc447265266"/>
      <w:bookmarkStart w:id="459" w:name="_Toc483"/>
      <w:bookmarkStart w:id="460" w:name="_Toc8657515"/>
      <w:r>
        <w:rPr>
          <w:rFonts w:ascii="宋体" w:hAnsi="宋体"/>
          <w:b/>
        </w:rPr>
        <w:t>9.2</w:t>
      </w:r>
      <w:r>
        <w:rPr>
          <w:rFonts w:hint="eastAsia" w:ascii="宋体" w:hAnsi="宋体"/>
          <w:b/>
        </w:rPr>
        <w:t>对投标人的纪律要求</w:t>
      </w:r>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21"/>
        <w:tabs>
          <w:tab w:val="left" w:pos="630"/>
        </w:tabs>
        <w:snapToGrid w:val="0"/>
        <w:spacing w:line="360" w:lineRule="auto"/>
        <w:ind w:firstLine="400" w:firstLineChars="200"/>
        <w:rPr>
          <w:rFonts w:hAnsi="宋体"/>
          <w:szCs w:val="21"/>
        </w:rPr>
      </w:pPr>
      <w:r>
        <w:rPr>
          <w:rFonts w:hint="eastAsia"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outlineLvl w:val="2"/>
        <w:rPr>
          <w:rFonts w:ascii="宋体"/>
          <w:b/>
        </w:rPr>
      </w:pPr>
      <w:bookmarkStart w:id="461" w:name="_Toc247085735"/>
      <w:bookmarkStart w:id="462" w:name="_Toc246996964"/>
      <w:bookmarkStart w:id="463" w:name="_Toc20481"/>
      <w:bookmarkStart w:id="464" w:name="_Toc296602464"/>
      <w:bookmarkStart w:id="465" w:name="_Toc246996221"/>
      <w:bookmarkStart w:id="466" w:name="_Toc144974545"/>
      <w:bookmarkStart w:id="467" w:name="_Toc447265267"/>
      <w:bookmarkStart w:id="468" w:name="_Toc10210461"/>
      <w:bookmarkStart w:id="469" w:name="_Toc8657516"/>
      <w:bookmarkStart w:id="470" w:name="_Toc447265553"/>
      <w:bookmarkStart w:id="471" w:name="_Toc152045577"/>
      <w:bookmarkStart w:id="472" w:name="_Toc152042353"/>
      <w:bookmarkStart w:id="473" w:name="_Toc179632595"/>
      <w:r>
        <w:rPr>
          <w:rFonts w:ascii="宋体" w:hAnsi="宋体"/>
          <w:b/>
        </w:rPr>
        <w:t>9.3</w:t>
      </w:r>
      <w:r>
        <w:rPr>
          <w:rFonts w:hint="eastAsia" w:ascii="宋体" w:hAnsi="宋体"/>
          <w:b/>
        </w:rPr>
        <w:t>对评标委员会成员的纪律要求</w:t>
      </w:r>
      <w:bookmarkEnd w:id="461"/>
      <w:bookmarkEnd w:id="462"/>
      <w:bookmarkEnd w:id="463"/>
      <w:bookmarkEnd w:id="464"/>
      <w:bookmarkEnd w:id="465"/>
      <w:bookmarkEnd w:id="466"/>
      <w:bookmarkEnd w:id="467"/>
      <w:bookmarkEnd w:id="468"/>
      <w:bookmarkEnd w:id="469"/>
      <w:bookmarkEnd w:id="470"/>
      <w:bookmarkEnd w:id="471"/>
      <w:bookmarkEnd w:id="472"/>
      <w:bookmarkEnd w:id="473"/>
    </w:p>
    <w:p>
      <w:pPr>
        <w:pStyle w:val="21"/>
        <w:tabs>
          <w:tab w:val="left" w:pos="630"/>
        </w:tabs>
        <w:snapToGrid w:val="0"/>
        <w:spacing w:line="360" w:lineRule="auto"/>
        <w:ind w:firstLine="400" w:firstLineChars="200"/>
        <w:rPr>
          <w:rFonts w:hAnsi="宋体"/>
          <w:szCs w:val="21"/>
        </w:rPr>
      </w:pPr>
      <w:r>
        <w:rPr>
          <w:rFonts w:hint="eastAsia" w:hAns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outlineLvl w:val="2"/>
        <w:rPr>
          <w:rFonts w:ascii="宋体"/>
          <w:b/>
        </w:rPr>
      </w:pPr>
      <w:bookmarkStart w:id="474" w:name="_Toc8657517"/>
      <w:bookmarkStart w:id="475" w:name="_Toc296602465"/>
      <w:bookmarkStart w:id="476" w:name="_Toc246996222"/>
      <w:bookmarkStart w:id="477" w:name="_Toc152042354"/>
      <w:bookmarkStart w:id="478" w:name="_Toc179632596"/>
      <w:bookmarkStart w:id="479" w:name="_Toc447265554"/>
      <w:bookmarkStart w:id="480" w:name="_Toc246996965"/>
      <w:bookmarkStart w:id="481" w:name="_Toc247085736"/>
      <w:bookmarkStart w:id="482" w:name="_Toc10210462"/>
      <w:bookmarkStart w:id="483" w:name="_Toc152045578"/>
      <w:bookmarkStart w:id="484" w:name="_Toc447265268"/>
      <w:bookmarkStart w:id="485" w:name="_Toc16553"/>
      <w:bookmarkStart w:id="486" w:name="_Toc144974546"/>
      <w:r>
        <w:rPr>
          <w:rFonts w:ascii="宋体" w:hAnsi="宋体"/>
          <w:b/>
        </w:rPr>
        <w:t>9.4</w:t>
      </w:r>
      <w:r>
        <w:rPr>
          <w:rFonts w:hint="eastAsia" w:ascii="宋体" w:hAnsi="宋体"/>
          <w:b/>
        </w:rPr>
        <w:t>对与评标活动有关的工作人员的纪律要求</w:t>
      </w:r>
      <w:bookmarkEnd w:id="474"/>
      <w:bookmarkEnd w:id="475"/>
      <w:bookmarkEnd w:id="476"/>
      <w:bookmarkEnd w:id="477"/>
      <w:bookmarkEnd w:id="478"/>
      <w:bookmarkEnd w:id="479"/>
      <w:bookmarkEnd w:id="480"/>
      <w:bookmarkEnd w:id="481"/>
      <w:bookmarkEnd w:id="482"/>
      <w:bookmarkEnd w:id="483"/>
      <w:bookmarkEnd w:id="484"/>
      <w:bookmarkEnd w:id="485"/>
    </w:p>
    <w:p>
      <w:pPr>
        <w:pStyle w:val="21"/>
        <w:tabs>
          <w:tab w:val="left" w:pos="630"/>
        </w:tabs>
        <w:snapToGrid w:val="0"/>
        <w:spacing w:line="360" w:lineRule="auto"/>
        <w:ind w:firstLine="400" w:firstLineChars="200"/>
        <w:rPr>
          <w:rFonts w:hAnsi="宋体"/>
          <w:szCs w:val="21"/>
        </w:rPr>
      </w:pPr>
      <w:bookmarkStart w:id="487" w:name="_Toc152042355"/>
      <w:r>
        <w:rPr>
          <w:rFonts w:hint="eastAsia" w:hAns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487"/>
    </w:p>
    <w:p>
      <w:pPr>
        <w:spacing w:line="360" w:lineRule="auto"/>
        <w:outlineLvl w:val="2"/>
        <w:rPr>
          <w:rFonts w:ascii="宋体"/>
          <w:b/>
        </w:rPr>
      </w:pPr>
      <w:bookmarkStart w:id="488" w:name="_Toc152045579"/>
      <w:bookmarkStart w:id="489" w:name="_Toc179632597"/>
      <w:bookmarkStart w:id="490" w:name="_Toc447265555"/>
      <w:bookmarkStart w:id="491" w:name="_Toc32085"/>
      <w:bookmarkStart w:id="492" w:name="_Toc246996223"/>
      <w:bookmarkStart w:id="493" w:name="_Toc10210463"/>
      <w:bookmarkStart w:id="494" w:name="_Toc447265269"/>
      <w:bookmarkStart w:id="495" w:name="_Toc246996966"/>
      <w:bookmarkStart w:id="496" w:name="_Toc152042356"/>
      <w:bookmarkStart w:id="497" w:name="_Toc247085737"/>
      <w:bookmarkStart w:id="498" w:name="_Toc296602466"/>
      <w:bookmarkStart w:id="499" w:name="_Toc8657518"/>
      <w:r>
        <w:rPr>
          <w:rFonts w:ascii="宋体" w:hAnsi="宋体"/>
          <w:b/>
        </w:rPr>
        <w:t>9.5</w:t>
      </w:r>
      <w:r>
        <w:rPr>
          <w:rFonts w:hint="eastAsia" w:ascii="宋体" w:hAnsi="宋体"/>
          <w:b/>
        </w:rPr>
        <w:t>投诉</w:t>
      </w:r>
      <w:bookmarkEnd w:id="486"/>
      <w:bookmarkEnd w:id="488"/>
      <w:bookmarkEnd w:id="489"/>
      <w:bookmarkEnd w:id="490"/>
      <w:bookmarkEnd w:id="491"/>
      <w:bookmarkEnd w:id="492"/>
      <w:bookmarkEnd w:id="493"/>
      <w:bookmarkEnd w:id="494"/>
      <w:bookmarkEnd w:id="495"/>
      <w:bookmarkEnd w:id="496"/>
      <w:bookmarkEnd w:id="497"/>
      <w:bookmarkEnd w:id="498"/>
      <w:bookmarkEnd w:id="499"/>
    </w:p>
    <w:p>
      <w:pPr>
        <w:pStyle w:val="21"/>
        <w:tabs>
          <w:tab w:val="left" w:pos="630"/>
        </w:tabs>
        <w:snapToGrid w:val="0"/>
        <w:spacing w:line="360" w:lineRule="auto"/>
        <w:ind w:firstLine="400" w:firstLineChars="200"/>
        <w:rPr>
          <w:rFonts w:hAnsi="宋体"/>
          <w:szCs w:val="21"/>
        </w:rPr>
      </w:pPr>
      <w:r>
        <w:rPr>
          <w:rFonts w:hint="eastAsia" w:hAnsi="宋体"/>
          <w:szCs w:val="21"/>
        </w:rPr>
        <w:t>投标人或者其他利害关系人认为招标投标活动不符合法律、法规规定的，可以自知道或者应当知道之日起</w:t>
      </w:r>
      <w:r>
        <w:rPr>
          <w:rFonts w:hAnsi="宋体"/>
          <w:szCs w:val="21"/>
        </w:rPr>
        <w:t>10</w:t>
      </w:r>
      <w:r>
        <w:rPr>
          <w:rFonts w:hint="eastAsia" w:hAnsi="宋体"/>
          <w:szCs w:val="21"/>
        </w:rPr>
        <w:t>日内向有关行政监督部门投诉。投诉应当有明确的请求和必要的证明材料。就招标文件、开标、中标候选人公示投诉的，应当先向招标人提出异议，异议答复期间不计算在前款规定的期限内。</w:t>
      </w:r>
    </w:p>
    <w:p>
      <w:pPr>
        <w:pStyle w:val="77"/>
        <w:spacing w:before="0" w:after="0" w:line="360" w:lineRule="auto"/>
        <w:ind w:firstLine="2530" w:firstLineChars="900"/>
        <w:jc w:val="both"/>
        <w:rPr>
          <w:rStyle w:val="48"/>
          <w:rFonts w:hint="eastAsia"/>
          <w:b/>
          <w:bCs w:val="0"/>
          <w:sz w:val="28"/>
          <w:szCs w:val="28"/>
        </w:rPr>
      </w:pPr>
      <w:bookmarkStart w:id="500" w:name="_Toc16175985"/>
      <w:bookmarkStart w:id="501" w:name="_Toc32110"/>
      <w:bookmarkStart w:id="502" w:name="_Toc447265559"/>
      <w:bookmarkStart w:id="503" w:name="_Toc447265273"/>
      <w:r>
        <w:rPr>
          <w:rStyle w:val="48"/>
          <w:rFonts w:hint="eastAsia"/>
          <w:b/>
          <w:bCs w:val="0"/>
          <w:sz w:val="28"/>
          <w:szCs w:val="28"/>
        </w:rPr>
        <w:t>第三章  评标办法（综合评标法）</w:t>
      </w:r>
      <w:bookmarkEnd w:id="500"/>
      <w:bookmarkEnd w:id="501"/>
      <w:bookmarkEnd w:id="502"/>
      <w:bookmarkEnd w:id="503"/>
    </w:p>
    <w:p>
      <w:pPr>
        <w:pStyle w:val="5"/>
        <w:topLinePunct/>
        <w:autoSpaceDE/>
        <w:autoSpaceDN/>
        <w:snapToGrid w:val="0"/>
        <w:spacing w:line="360" w:lineRule="auto"/>
        <w:ind w:firstLine="0"/>
        <w:jc w:val="center"/>
        <w:rPr>
          <w:rFonts w:ascii="宋体" w:hAnsi="宋体" w:eastAsia="宋体"/>
          <w:b/>
          <w:bCs/>
          <w:sz w:val="21"/>
          <w:szCs w:val="21"/>
        </w:rPr>
      </w:pPr>
    </w:p>
    <w:p>
      <w:pPr>
        <w:pStyle w:val="5"/>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一、总则</w:t>
      </w:r>
    </w:p>
    <w:p>
      <w:pPr>
        <w:spacing w:line="360" w:lineRule="auto"/>
        <w:ind w:firstLine="422" w:firstLineChars="200"/>
        <w:rPr>
          <w:rFonts w:ascii="宋体"/>
          <w:b/>
          <w:bCs/>
          <w:szCs w:val="21"/>
        </w:rPr>
      </w:pPr>
      <w:r>
        <w:rPr>
          <w:rFonts w:hint="eastAsia" w:ascii="宋体" w:hAnsi="宋体"/>
          <w:b/>
          <w:bCs/>
          <w:szCs w:val="21"/>
        </w:rPr>
        <w:t>第一条</w:t>
      </w:r>
      <w:r>
        <w:rPr>
          <w:rFonts w:ascii="宋体" w:hAnsi="宋体"/>
          <w:b/>
          <w:bCs/>
          <w:szCs w:val="21"/>
        </w:rPr>
        <w:t xml:space="preserve">  </w:t>
      </w:r>
      <w:r>
        <w:rPr>
          <w:rFonts w:hint="eastAsia" w:ascii="宋体" w:hAnsi="宋体"/>
          <w:bCs/>
          <w:szCs w:val="21"/>
        </w:rPr>
        <w:t>本项目采用综合评标法。</w:t>
      </w:r>
    </w:p>
    <w:p>
      <w:pPr>
        <w:spacing w:line="360" w:lineRule="auto"/>
        <w:ind w:firstLine="422" w:firstLineChars="200"/>
        <w:rPr>
          <w:rFonts w:ascii="宋体" w:hAnsi="宋体"/>
          <w:szCs w:val="21"/>
        </w:rPr>
      </w:pPr>
      <w:r>
        <w:rPr>
          <w:rFonts w:hint="eastAsia" w:ascii="宋体" w:hAnsi="宋体"/>
          <w:b/>
          <w:bCs/>
          <w:szCs w:val="21"/>
        </w:rPr>
        <w:t>第二条</w:t>
      </w:r>
      <w:r>
        <w:rPr>
          <w:rFonts w:ascii="宋体" w:hAnsi="宋体"/>
          <w:b/>
          <w:bCs/>
          <w:szCs w:val="21"/>
        </w:rPr>
        <w:t xml:space="preserve">  </w:t>
      </w:r>
      <w:r>
        <w:rPr>
          <w:rFonts w:hint="eastAsia" w:ascii="宋体" w:hAnsi="宋体"/>
          <w:szCs w:val="21"/>
        </w:rPr>
        <w:t>评标委员会依据招标文件中规定的标准、办法对投标文件进行评审，任何其他的外部证据均不得作为评标的依据。评标委员会对满足招标文件实质性要求的投标文件，按评分标准进行打分，并按得分由高到低顺序推荐中标候选人，得分相等时，按投标报价得分高者优先，投标报价得分也相等的，按服务方案得分由高到低顺序推荐中标候选人。</w:t>
      </w:r>
    </w:p>
    <w:p>
      <w:pPr>
        <w:pStyle w:val="5"/>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二、资格审查</w:t>
      </w:r>
    </w:p>
    <w:p>
      <w:pPr>
        <w:spacing w:line="360" w:lineRule="auto"/>
        <w:ind w:firstLine="422" w:firstLineChars="200"/>
        <w:rPr>
          <w:rFonts w:ascii="宋体"/>
          <w:kern w:val="0"/>
          <w:szCs w:val="21"/>
        </w:rPr>
      </w:pPr>
      <w:r>
        <w:rPr>
          <w:rFonts w:hint="eastAsia" w:ascii="宋体" w:hAnsi="宋体"/>
          <w:b/>
          <w:kern w:val="0"/>
          <w:szCs w:val="21"/>
        </w:rPr>
        <w:t>第三条</w:t>
      </w:r>
      <w:r>
        <w:rPr>
          <w:rFonts w:ascii="宋体" w:hAnsi="宋体"/>
          <w:kern w:val="0"/>
          <w:szCs w:val="21"/>
        </w:rPr>
        <w:t xml:space="preserve">  </w:t>
      </w:r>
      <w:r>
        <w:rPr>
          <w:rFonts w:hint="eastAsia" w:ascii="宋体" w:hAnsi="宋体"/>
          <w:kern w:val="0"/>
          <w:szCs w:val="21"/>
        </w:rPr>
        <w:t>评标委员会按照招标文件相关的要求，对所有投标文件进行资格审查，资格审查有一项不符合招标文件要求的，其投标文件按无效处理，不进入初步评审，</w:t>
      </w:r>
      <w:r>
        <w:rPr>
          <w:rFonts w:hint="eastAsia" w:ascii="宋体" w:hAnsi="宋体"/>
          <w:szCs w:val="21"/>
        </w:rPr>
        <w:t>资格审查内容如下：</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5、本项目不接受联合体投标。</w:t>
      </w:r>
    </w:p>
    <w:p>
      <w:pPr>
        <w:pStyle w:val="5"/>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三、初步评审</w:t>
      </w:r>
    </w:p>
    <w:p>
      <w:pPr>
        <w:spacing w:line="360" w:lineRule="auto"/>
        <w:ind w:firstLine="422" w:firstLineChars="200"/>
        <w:rPr>
          <w:rFonts w:ascii="宋体"/>
          <w:bCs/>
          <w:szCs w:val="21"/>
        </w:rPr>
      </w:pPr>
      <w:r>
        <w:rPr>
          <w:rFonts w:hint="eastAsia" w:ascii="宋体" w:hAnsi="宋体"/>
          <w:b/>
          <w:bCs/>
          <w:szCs w:val="21"/>
        </w:rPr>
        <w:t>第四条</w:t>
      </w:r>
      <w:r>
        <w:rPr>
          <w:rFonts w:ascii="宋体" w:hAnsi="宋体"/>
          <w:bCs/>
          <w:szCs w:val="21"/>
        </w:rPr>
        <w:t xml:space="preserve">  </w:t>
      </w:r>
      <w:r>
        <w:rPr>
          <w:rFonts w:hint="eastAsia" w:ascii="宋体" w:hAnsi="宋体"/>
          <w:bCs/>
          <w:szCs w:val="21"/>
        </w:rPr>
        <w:t>对通过资格审查的投标文件进行初步评审。通过初步评审的投标文件，方可进入下一阶段详细评审。</w:t>
      </w:r>
    </w:p>
    <w:p>
      <w:pPr>
        <w:spacing w:line="360" w:lineRule="auto"/>
        <w:ind w:firstLine="422" w:firstLineChars="200"/>
        <w:rPr>
          <w:rFonts w:ascii="宋体"/>
          <w:bCs/>
          <w:szCs w:val="21"/>
        </w:rPr>
      </w:pPr>
      <w:r>
        <w:rPr>
          <w:rFonts w:hint="eastAsia" w:ascii="宋体" w:hAnsi="宋体"/>
          <w:b/>
          <w:bCs/>
          <w:szCs w:val="21"/>
        </w:rPr>
        <w:t>第五条</w:t>
      </w:r>
      <w:r>
        <w:rPr>
          <w:rFonts w:ascii="宋体" w:hAnsi="宋体"/>
          <w:bCs/>
          <w:szCs w:val="21"/>
        </w:rPr>
        <w:t xml:space="preserve">  </w:t>
      </w:r>
      <w:r>
        <w:rPr>
          <w:rFonts w:hint="eastAsia" w:ascii="宋体" w:hAnsi="宋体"/>
          <w:bCs/>
          <w:szCs w:val="21"/>
        </w:rPr>
        <w:t>初步评审过程中，投标文件出现下列情形之一的，将作为无效投标文件，按无效投标处理，不再进入详细评标：</w:t>
      </w:r>
    </w:p>
    <w:p>
      <w:pPr>
        <w:pStyle w:val="35"/>
        <w:shd w:val="clear" w:color="auto" w:fill="FFFFFF"/>
        <w:spacing w:before="0" w:beforeAutospacing="0" w:after="0" w:afterAutospacing="0" w:line="360" w:lineRule="auto"/>
        <w:ind w:firstLine="420" w:firstLineChars="200"/>
        <w:rPr>
          <w:rFonts w:cs="Times New Roman"/>
          <w:kern w:val="2"/>
          <w:sz w:val="21"/>
          <w:szCs w:val="21"/>
        </w:rPr>
      </w:pPr>
      <w:r>
        <w:rPr>
          <w:rFonts w:cs="Times New Roman"/>
          <w:kern w:val="2"/>
          <w:sz w:val="21"/>
          <w:szCs w:val="21"/>
        </w:rPr>
        <w:t>1</w:t>
      </w:r>
      <w:r>
        <w:rPr>
          <w:rFonts w:hint="eastAsia" w:cs="Times New Roman"/>
          <w:kern w:val="2"/>
          <w:sz w:val="21"/>
          <w:szCs w:val="21"/>
        </w:rPr>
        <w:t>、投标文件未按招标文件要求加盖单位公章或未经法定代表人或其授权代表签字或盖章的；</w:t>
      </w:r>
    </w:p>
    <w:p>
      <w:pPr>
        <w:pStyle w:val="35"/>
        <w:shd w:val="clear" w:color="auto" w:fill="FFFFFF"/>
        <w:spacing w:before="0" w:beforeAutospacing="0" w:after="0" w:afterAutospacing="0" w:line="360" w:lineRule="auto"/>
        <w:ind w:firstLine="420" w:firstLineChars="200"/>
        <w:rPr>
          <w:rFonts w:cs="Times New Roman"/>
          <w:kern w:val="2"/>
          <w:sz w:val="21"/>
          <w:szCs w:val="21"/>
        </w:rPr>
      </w:pPr>
      <w:r>
        <w:rPr>
          <w:rFonts w:cs="Times New Roman"/>
          <w:kern w:val="2"/>
          <w:sz w:val="21"/>
          <w:szCs w:val="21"/>
        </w:rPr>
        <w:t>2</w:t>
      </w:r>
      <w:r>
        <w:rPr>
          <w:rFonts w:hint="eastAsia" w:cs="Times New Roman"/>
          <w:kern w:val="2"/>
          <w:sz w:val="21"/>
          <w:szCs w:val="21"/>
        </w:rPr>
        <w:t>、投标人递交两份或者多份内容不同的投标文件，或者在一份投标文件中对同一招标项目报有两个或者多个报价，且未声明哪一个有效的。按招标文件规定提交备选投标方案的除外；</w:t>
      </w:r>
    </w:p>
    <w:p>
      <w:pPr>
        <w:pStyle w:val="35"/>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3、投标报价不符合招标文件要求的，或者低于其成本恶意竞标的，或者高于招标文件设定的最高投标限价的；</w:t>
      </w:r>
    </w:p>
    <w:p>
      <w:pPr>
        <w:pStyle w:val="35"/>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4、未响应招标文件的实质性要求和条件；</w:t>
      </w:r>
    </w:p>
    <w:p>
      <w:pPr>
        <w:pStyle w:val="35"/>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5、投标文件附有招标人不能接受的条件；</w:t>
      </w:r>
    </w:p>
    <w:p>
      <w:pPr>
        <w:pStyle w:val="35"/>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6、投标文件中有违反法律法规的其他规定的。</w:t>
      </w:r>
    </w:p>
    <w:p>
      <w:pPr>
        <w:pStyle w:val="5"/>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四、详细评审</w:t>
      </w:r>
    </w:p>
    <w:p>
      <w:pPr>
        <w:spacing w:line="360" w:lineRule="auto"/>
        <w:ind w:firstLine="420" w:firstLineChars="200"/>
        <w:rPr>
          <w:rFonts w:ascii="宋体"/>
          <w:kern w:val="0"/>
          <w:szCs w:val="21"/>
        </w:rPr>
      </w:pPr>
      <w:r>
        <w:rPr>
          <w:rFonts w:ascii="宋体" w:hAnsi="宋体"/>
          <w:kern w:val="0"/>
          <w:szCs w:val="21"/>
        </w:rPr>
        <w:t>1</w:t>
      </w:r>
      <w:r>
        <w:rPr>
          <w:rFonts w:hint="eastAsia" w:ascii="宋体" w:hAnsi="宋体"/>
          <w:kern w:val="0"/>
          <w:szCs w:val="21"/>
        </w:rPr>
        <w:t>、分值构成（总分</w:t>
      </w:r>
      <w:r>
        <w:rPr>
          <w:rFonts w:ascii="宋体" w:hAnsi="宋体"/>
          <w:kern w:val="0"/>
          <w:szCs w:val="21"/>
        </w:rPr>
        <w:t>100</w:t>
      </w:r>
      <w:r>
        <w:rPr>
          <w:rFonts w:hint="eastAsia" w:ascii="宋体" w:hAnsi="宋体"/>
          <w:kern w:val="0"/>
          <w:szCs w:val="21"/>
        </w:rPr>
        <w:t>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）投标报价部分：满分7</w:t>
      </w:r>
      <w:r>
        <w:rPr>
          <w:rFonts w:ascii="宋体"/>
          <w:kern w:val="0"/>
          <w:szCs w:val="21"/>
        </w:rPr>
        <w:t>0</w:t>
      </w:r>
      <w:r>
        <w:rPr>
          <w:rFonts w:hint="eastAsia" w:ascii="宋体" w:hAnsi="宋体"/>
          <w:kern w:val="0"/>
          <w:szCs w:val="21"/>
        </w:rPr>
        <w:t>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）详细评审部分：满分3</w:t>
      </w:r>
      <w:r>
        <w:rPr>
          <w:rFonts w:ascii="宋体"/>
          <w:kern w:val="0"/>
          <w:szCs w:val="21"/>
        </w:rPr>
        <w:t>0</w:t>
      </w:r>
      <w:r>
        <w:rPr>
          <w:rFonts w:hint="eastAsia" w:ascii="宋体" w:hAnsi="宋体"/>
          <w:kern w:val="0"/>
          <w:szCs w:val="21"/>
        </w:rPr>
        <w:t>分；</w:t>
      </w:r>
    </w:p>
    <w:p>
      <w:pPr>
        <w:spacing w:line="360" w:lineRule="auto"/>
        <w:ind w:firstLine="420" w:firstLineChars="200"/>
        <w:rPr>
          <w:rFonts w:ascii="宋体"/>
          <w:kern w:val="0"/>
          <w:szCs w:val="21"/>
        </w:rPr>
      </w:pPr>
      <w:r>
        <w:rPr>
          <w:rFonts w:ascii="宋体" w:hAnsi="宋体"/>
          <w:kern w:val="0"/>
          <w:szCs w:val="21"/>
        </w:rPr>
        <w:t>2</w:t>
      </w:r>
      <w:r>
        <w:rPr>
          <w:rFonts w:hint="eastAsia" w:ascii="宋体" w:hAnsi="宋体"/>
          <w:kern w:val="0"/>
          <w:szCs w:val="21"/>
        </w:rPr>
        <w:t>、评分标准：</w:t>
      </w:r>
    </w:p>
    <w:p>
      <w:pPr>
        <w:spacing w:line="360" w:lineRule="auto"/>
        <w:ind w:firstLine="420" w:firstLineChars="200"/>
        <w:rPr>
          <w:rFonts w:hint="eastAsia" w:ascii="宋体"/>
          <w:bCs/>
          <w:szCs w:val="21"/>
        </w:rPr>
      </w:pPr>
      <w:r>
        <w:rPr>
          <w:rFonts w:hint="eastAsia" w:ascii="宋体" w:hAnsi="宋体"/>
          <w:bCs/>
          <w:szCs w:val="21"/>
        </w:rPr>
        <w:t>评标委员会对通过初步评审的投标人进行详细评审，首先按照招标文件规定的评分要求对投标人进行打分。</w:t>
      </w:r>
    </w:p>
    <w:p>
      <w:pPr>
        <w:numPr>
          <w:ilvl w:val="0"/>
          <w:numId w:val="3"/>
        </w:numPr>
        <w:spacing w:line="360" w:lineRule="auto"/>
        <w:ind w:left="-420" w:leftChars="0" w:firstLine="420" w:firstLineChars="0"/>
        <w:rPr>
          <w:rFonts w:hint="eastAsia" w:ascii="宋体" w:hAnsi="宋体"/>
          <w:kern w:val="0"/>
          <w:szCs w:val="21"/>
        </w:rPr>
      </w:pPr>
      <w:r>
        <w:rPr>
          <w:rFonts w:hint="eastAsia" w:ascii="宋体" w:hAnsi="宋体"/>
          <w:kern w:val="0"/>
          <w:szCs w:val="21"/>
        </w:rPr>
        <w:t>评分标准：</w:t>
      </w:r>
    </w:p>
    <w:tbl>
      <w:tblPr>
        <w:tblStyle w:val="39"/>
        <w:tblW w:w="4998" w:type="pct"/>
        <w:tblInd w:w="0" w:type="dxa"/>
        <w:tblLayout w:type="autofit"/>
        <w:tblCellMar>
          <w:top w:w="0" w:type="dxa"/>
          <w:left w:w="108" w:type="dxa"/>
          <w:bottom w:w="0" w:type="dxa"/>
          <w:right w:w="108" w:type="dxa"/>
        </w:tblCellMar>
      </w:tblPr>
      <w:tblGrid>
        <w:gridCol w:w="702"/>
        <w:gridCol w:w="1421"/>
        <w:gridCol w:w="6396"/>
      </w:tblGrid>
      <w:tr>
        <w:tblPrEx>
          <w:tblCellMar>
            <w:top w:w="0" w:type="dxa"/>
            <w:left w:w="108" w:type="dxa"/>
            <w:bottom w:w="0" w:type="dxa"/>
            <w:right w:w="108" w:type="dxa"/>
          </w:tblCellMar>
        </w:tblPrEx>
        <w:trPr>
          <w:trHeight w:val="285" w:hRule="atLeast"/>
        </w:trPr>
        <w:tc>
          <w:tcPr>
            <w:tcW w:w="1246" w:type="pct"/>
            <w:gridSpan w:val="2"/>
            <w:tcBorders>
              <w:top w:val="single" w:color="000000" w:sz="8"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评分项目</w:t>
            </w:r>
          </w:p>
        </w:tc>
        <w:tc>
          <w:tcPr>
            <w:tcW w:w="3753" w:type="pct"/>
            <w:tcBorders>
              <w:top w:val="single" w:color="000000" w:sz="8" w:space="0"/>
              <w:left w:val="single" w:color="000000" w:sz="4" w:space="0"/>
              <w:bottom w:val="single" w:color="000000" w:sz="4" w:space="0"/>
              <w:right w:val="single" w:color="000000" w:sz="8" w:space="0"/>
            </w:tcBorders>
            <w:noWrap w:val="0"/>
            <w:vAlign w:val="center"/>
          </w:tcPr>
          <w:p>
            <w:pPr>
              <w:widowControl/>
              <w:ind w:firstLine="211" w:firstLineChars="10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评分标准</w:t>
            </w:r>
          </w:p>
        </w:tc>
      </w:tr>
      <w:tr>
        <w:tblPrEx>
          <w:tblCellMar>
            <w:top w:w="0" w:type="dxa"/>
            <w:left w:w="108" w:type="dxa"/>
            <w:bottom w:w="0" w:type="dxa"/>
            <w:right w:w="108" w:type="dxa"/>
          </w:tblCellMar>
        </w:tblPrEx>
        <w:trPr>
          <w:trHeight w:val="765" w:hRule="atLeast"/>
        </w:trPr>
        <w:tc>
          <w:tcPr>
            <w:tcW w:w="1246" w:type="pct"/>
            <w:gridSpan w:val="2"/>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投标报价（满分70分）</w:t>
            </w:r>
          </w:p>
        </w:tc>
        <w:tc>
          <w:tcPr>
            <w:tcW w:w="3753" w:type="pct"/>
            <w:tcBorders>
              <w:top w:val="single" w:color="000000" w:sz="4" w:space="0"/>
              <w:left w:val="single" w:color="000000" w:sz="4" w:space="0"/>
              <w:bottom w:val="single" w:color="000000" w:sz="4" w:space="0"/>
              <w:right w:val="single" w:color="000000" w:sz="8" w:space="0"/>
            </w:tcBorders>
            <w:noWrap w:val="0"/>
            <w:vAlign w:val="center"/>
          </w:tcPr>
          <w:p>
            <w:pPr>
              <w:spacing w:line="360" w:lineRule="exact"/>
              <w:jc w:val="left"/>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hint="eastAsia" w:ascii="宋体" w:hAnsi="宋体" w:eastAsia="宋体" w:cs="宋体"/>
                <w:i w:val="0"/>
                <w:iCs w:val="0"/>
                <w:color w:val="000000"/>
                <w:kern w:val="0"/>
                <w:sz w:val="21"/>
                <w:szCs w:val="21"/>
                <w:u w:val="none"/>
                <w:lang w:val="en-US" w:eastAsia="zh-CN" w:bidi="ar"/>
              </w:rPr>
              <w:t>初步评审合格的所有投标人数量超过5个的（含5个），去掉一个最低报价和一个最高报价后取其他所有有效投标报价的平均值作为评标基准价；初步评审合格的所有投标人数量低于5个的，取所有投标报价平均值为评标基准价。</w:t>
            </w:r>
          </w:p>
          <w:p>
            <w:pPr>
              <w:widowControl/>
              <w:jc w:val="left"/>
              <w:textAlignment w:val="center"/>
              <w:rPr>
                <w:rFonts w:hint="eastAsia" w:ascii="宋体" w:hAnsi="宋体" w:cs="宋体"/>
                <w:color w:val="auto"/>
                <w:szCs w:val="21"/>
              </w:rPr>
            </w:pPr>
          </w:p>
        </w:tc>
      </w:tr>
      <w:tr>
        <w:tblPrEx>
          <w:tblCellMar>
            <w:top w:w="0" w:type="dxa"/>
            <w:left w:w="108" w:type="dxa"/>
            <w:bottom w:w="0" w:type="dxa"/>
            <w:right w:w="108" w:type="dxa"/>
          </w:tblCellMar>
        </w:tblPrEx>
        <w:trPr>
          <w:trHeight w:val="1020" w:hRule="atLeast"/>
        </w:trPr>
        <w:tc>
          <w:tcPr>
            <w:tcW w:w="1246" w:type="pct"/>
            <w:gridSpan w:val="2"/>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3753" w:type="pct"/>
            <w:tcBorders>
              <w:top w:val="single" w:color="000000" w:sz="4" w:space="0"/>
              <w:left w:val="single" w:color="000000" w:sz="4" w:space="0"/>
              <w:bottom w:val="single" w:color="000000" w:sz="4" w:space="0"/>
              <w:right w:val="single" w:color="000000" w:sz="8" w:space="0"/>
            </w:tcBorders>
            <w:noWrap w:val="0"/>
            <w:vAlign w:val="center"/>
          </w:tcPr>
          <w:p>
            <w:pPr>
              <w:spacing w:line="360" w:lineRule="exact"/>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）偏差率＝（投标报价</w:t>
            </w:r>
            <w:r>
              <w:rPr>
                <w:rFonts w:ascii="宋体" w:hAnsi="宋体"/>
                <w:color w:val="auto"/>
                <w:szCs w:val="21"/>
              </w:rPr>
              <w:t>/</w:t>
            </w:r>
            <w:r>
              <w:rPr>
                <w:rFonts w:hint="eastAsia" w:ascii="宋体" w:hAnsi="宋体"/>
                <w:color w:val="auto"/>
                <w:szCs w:val="21"/>
              </w:rPr>
              <w:t>评标基准价</w:t>
            </w:r>
            <w:r>
              <w:rPr>
                <w:rFonts w:ascii="宋体" w:hAnsi="宋体"/>
                <w:color w:val="auto"/>
                <w:szCs w:val="21"/>
              </w:rPr>
              <w:t>-1</w:t>
            </w:r>
            <w:r>
              <w:rPr>
                <w:rFonts w:hint="eastAsia" w:ascii="宋体" w:hAnsi="宋体"/>
                <w:color w:val="auto"/>
                <w:szCs w:val="21"/>
              </w:rPr>
              <w:t>）×</w:t>
            </w:r>
            <w:r>
              <w:rPr>
                <w:rFonts w:ascii="宋体" w:hAnsi="宋体"/>
                <w:color w:val="auto"/>
                <w:szCs w:val="21"/>
              </w:rPr>
              <w:t>100</w:t>
            </w:r>
            <w:r>
              <w:rPr>
                <w:rFonts w:hint="eastAsia" w:ascii="宋体" w:hAnsi="宋体"/>
                <w:color w:val="auto"/>
                <w:szCs w:val="21"/>
              </w:rPr>
              <w:t>％；</w:t>
            </w:r>
          </w:p>
          <w:p>
            <w:pPr>
              <w:widowControl/>
              <w:jc w:val="left"/>
              <w:textAlignment w:val="center"/>
              <w:rPr>
                <w:rFonts w:hint="eastAsia" w:ascii="宋体" w:hAnsi="宋体" w:cs="宋体"/>
                <w:color w:val="auto"/>
                <w:szCs w:val="21"/>
              </w:rPr>
            </w:pPr>
            <w:r>
              <w:rPr>
                <w:rFonts w:hint="eastAsia" w:ascii="宋体" w:hAnsi="宋体"/>
                <w:color w:val="auto"/>
                <w:szCs w:val="21"/>
              </w:rPr>
              <w:t>投标报价高于评标基准价，每向上浮动</w:t>
            </w:r>
            <w:r>
              <w:rPr>
                <w:rFonts w:ascii="宋体" w:hAnsi="宋体"/>
                <w:color w:val="auto"/>
                <w:szCs w:val="21"/>
              </w:rPr>
              <w:t>1%</w:t>
            </w:r>
            <w:r>
              <w:rPr>
                <w:rFonts w:hint="eastAsia" w:ascii="宋体" w:hAnsi="宋体"/>
                <w:color w:val="auto"/>
                <w:szCs w:val="21"/>
              </w:rPr>
              <w:t>扣</w:t>
            </w:r>
            <w:r>
              <w:rPr>
                <w:rFonts w:ascii="宋体"/>
                <w:color w:val="auto"/>
                <w:szCs w:val="21"/>
              </w:rPr>
              <w:t>1</w:t>
            </w:r>
            <w:r>
              <w:rPr>
                <w:rFonts w:hint="eastAsia" w:ascii="宋体" w:hAnsi="宋体"/>
                <w:color w:val="auto"/>
                <w:szCs w:val="21"/>
              </w:rPr>
              <w:t>分，不足</w:t>
            </w:r>
            <w:r>
              <w:rPr>
                <w:rFonts w:ascii="宋体" w:hAnsi="宋体"/>
                <w:color w:val="auto"/>
                <w:szCs w:val="21"/>
              </w:rPr>
              <w:t>1%</w:t>
            </w:r>
            <w:r>
              <w:rPr>
                <w:rFonts w:hint="eastAsia" w:ascii="宋体" w:hAnsi="宋体"/>
                <w:color w:val="auto"/>
                <w:szCs w:val="21"/>
              </w:rPr>
              <w:t>按</w:t>
            </w:r>
            <w:r>
              <w:rPr>
                <w:rFonts w:ascii="宋体" w:hAnsi="宋体"/>
                <w:color w:val="auto"/>
                <w:szCs w:val="21"/>
              </w:rPr>
              <w:t>1%</w:t>
            </w:r>
            <w:r>
              <w:rPr>
                <w:rFonts w:hint="eastAsia" w:ascii="宋体" w:hAnsi="宋体"/>
                <w:color w:val="auto"/>
                <w:szCs w:val="21"/>
              </w:rPr>
              <w:t>计；评标报价低于评标基准价，每向下浮动</w:t>
            </w:r>
            <w:r>
              <w:rPr>
                <w:rFonts w:ascii="宋体" w:hAnsi="宋体"/>
                <w:color w:val="auto"/>
                <w:szCs w:val="21"/>
              </w:rPr>
              <w:t>1%</w:t>
            </w:r>
            <w:r>
              <w:rPr>
                <w:rFonts w:hint="eastAsia" w:ascii="宋体" w:hAnsi="宋体"/>
                <w:color w:val="auto"/>
                <w:szCs w:val="21"/>
              </w:rPr>
              <w:t>扣</w:t>
            </w:r>
            <w:r>
              <w:rPr>
                <w:rFonts w:ascii="宋体"/>
                <w:color w:val="auto"/>
                <w:szCs w:val="21"/>
              </w:rPr>
              <w:t>0.</w:t>
            </w:r>
            <w:r>
              <w:rPr>
                <w:rFonts w:ascii="宋体" w:hAnsi="宋体"/>
                <w:color w:val="auto"/>
                <w:szCs w:val="21"/>
              </w:rPr>
              <w:t>5</w:t>
            </w:r>
            <w:r>
              <w:rPr>
                <w:rFonts w:hint="eastAsia" w:ascii="宋体" w:hAnsi="宋体"/>
                <w:color w:val="auto"/>
                <w:szCs w:val="21"/>
              </w:rPr>
              <w:t>分，不足</w:t>
            </w:r>
            <w:r>
              <w:rPr>
                <w:rFonts w:ascii="宋体" w:hAnsi="宋体"/>
                <w:color w:val="auto"/>
                <w:szCs w:val="21"/>
              </w:rPr>
              <w:t>1%</w:t>
            </w:r>
            <w:r>
              <w:rPr>
                <w:rFonts w:hint="eastAsia" w:ascii="宋体" w:hAnsi="宋体"/>
                <w:color w:val="auto"/>
                <w:szCs w:val="21"/>
              </w:rPr>
              <w:t>按</w:t>
            </w:r>
            <w:r>
              <w:rPr>
                <w:rFonts w:ascii="宋体" w:hAnsi="宋体"/>
                <w:color w:val="auto"/>
                <w:szCs w:val="21"/>
              </w:rPr>
              <w:t>1%</w:t>
            </w:r>
            <w:r>
              <w:rPr>
                <w:rFonts w:hint="eastAsia" w:ascii="宋体" w:hAnsi="宋体"/>
                <w:color w:val="auto"/>
                <w:szCs w:val="21"/>
              </w:rPr>
              <w:t>计；投标报价等于评标基准价的，不扣分。</w:t>
            </w:r>
          </w:p>
        </w:tc>
      </w:tr>
      <w:tr>
        <w:tblPrEx>
          <w:tblCellMar>
            <w:top w:w="0" w:type="dxa"/>
            <w:left w:w="108" w:type="dxa"/>
            <w:bottom w:w="0" w:type="dxa"/>
            <w:right w:w="108" w:type="dxa"/>
          </w:tblCellMar>
        </w:tblPrEx>
        <w:trPr>
          <w:trHeight w:val="285" w:hRule="atLeast"/>
        </w:trPr>
        <w:tc>
          <w:tcPr>
            <w:tcW w:w="1246" w:type="pct"/>
            <w:gridSpan w:val="2"/>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3753"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s="宋体"/>
                <w:color w:val="auto"/>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）投标报价得分</w:t>
            </w:r>
            <w:r>
              <w:rPr>
                <w:rFonts w:ascii="宋体" w:hAnsi="宋体"/>
                <w:color w:val="auto"/>
                <w:kern w:val="0"/>
                <w:szCs w:val="21"/>
              </w:rPr>
              <w:t>=</w:t>
            </w:r>
            <w:r>
              <w:rPr>
                <w:rFonts w:hint="eastAsia" w:ascii="宋体" w:hAnsi="宋体"/>
                <w:color w:val="auto"/>
                <w:kern w:val="0"/>
                <w:szCs w:val="21"/>
              </w:rPr>
              <w:t>7</w:t>
            </w:r>
            <w:r>
              <w:rPr>
                <w:rFonts w:ascii="宋体"/>
                <w:color w:val="auto"/>
                <w:kern w:val="0"/>
                <w:szCs w:val="21"/>
              </w:rPr>
              <w:t>0-</w:t>
            </w:r>
            <w:r>
              <w:rPr>
                <w:rFonts w:hint="eastAsia" w:ascii="宋体" w:hAnsi="宋体"/>
                <w:color w:val="auto"/>
                <w:kern w:val="0"/>
                <w:szCs w:val="21"/>
              </w:rPr>
              <w:t>扣分分值</w:t>
            </w:r>
            <w:r>
              <w:rPr>
                <w:rFonts w:hint="eastAsia" w:ascii="宋体" w:hAnsi="宋体"/>
                <w:color w:val="auto"/>
                <w:szCs w:val="21"/>
              </w:rPr>
              <w:t>。</w:t>
            </w:r>
          </w:p>
        </w:tc>
      </w:tr>
      <w:tr>
        <w:tblPrEx>
          <w:tblCellMar>
            <w:top w:w="0" w:type="dxa"/>
            <w:left w:w="108" w:type="dxa"/>
            <w:bottom w:w="0" w:type="dxa"/>
            <w:right w:w="108" w:type="dxa"/>
          </w:tblCellMar>
        </w:tblPrEx>
        <w:trPr>
          <w:trHeight w:val="510" w:hRule="atLeast"/>
        </w:trPr>
        <w:tc>
          <w:tcPr>
            <w:tcW w:w="412" w:type="pct"/>
            <w:vMerge w:val="restart"/>
            <w:tcBorders>
              <w:top w:val="single" w:color="000000" w:sz="4" w:space="0"/>
              <w:left w:val="single" w:color="000000" w:sz="8" w:space="0"/>
              <w:bottom w:val="single" w:color="000000" w:sz="8"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详细评审（满分30分）</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投标人业绩（满分5分）</w:t>
            </w:r>
          </w:p>
        </w:tc>
        <w:tc>
          <w:tcPr>
            <w:tcW w:w="3753"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近3年投标人与大型国有企业合作业绩。（提供合同扫描件，与本单位合作的每份合同</w:t>
            </w:r>
            <w:r>
              <w:rPr>
                <w:rFonts w:hint="eastAsia" w:ascii="宋体" w:hAnsi="宋体" w:cs="宋体"/>
                <w:color w:val="auto"/>
                <w:kern w:val="0"/>
                <w:szCs w:val="21"/>
                <w:lang w:val="en-US" w:eastAsia="zh-CN" w:bidi="ar"/>
              </w:rPr>
              <w:t>得5</w:t>
            </w:r>
            <w:r>
              <w:rPr>
                <w:rFonts w:hint="eastAsia" w:ascii="宋体" w:hAnsi="宋体" w:cs="宋体"/>
                <w:color w:val="auto"/>
                <w:kern w:val="0"/>
                <w:szCs w:val="21"/>
                <w:lang w:bidi="ar"/>
              </w:rPr>
              <w:t>分，与其他单位合作的每份合同得1分）。</w:t>
            </w:r>
          </w:p>
        </w:tc>
      </w:tr>
      <w:tr>
        <w:tblPrEx>
          <w:tblCellMar>
            <w:top w:w="0" w:type="dxa"/>
            <w:left w:w="108" w:type="dxa"/>
            <w:bottom w:w="0" w:type="dxa"/>
            <w:right w:w="108" w:type="dxa"/>
          </w:tblCellMar>
        </w:tblPrEx>
        <w:trPr>
          <w:trHeight w:val="1966" w:hRule="atLeast"/>
        </w:trPr>
        <w:tc>
          <w:tcPr>
            <w:tcW w:w="412" w:type="pct"/>
            <w:vMerge w:val="continue"/>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cs="宋体"/>
                <w:b/>
                <w:bCs/>
                <w:color w:val="000000"/>
                <w:szCs w:val="21"/>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综合实力（满分5分）</w:t>
            </w:r>
          </w:p>
        </w:tc>
        <w:tc>
          <w:tcPr>
            <w:tcW w:w="3753"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olor w:val="auto"/>
                <w:kern w:val="0"/>
                <w:szCs w:val="21"/>
              </w:rPr>
            </w:pPr>
            <w:r>
              <w:rPr>
                <w:rFonts w:hint="eastAsia" w:ascii="宋体" w:hAnsi="宋体"/>
                <w:color w:val="auto"/>
                <w:kern w:val="0"/>
                <w:szCs w:val="21"/>
              </w:rPr>
              <w:t>（1）生产许可证/销售代理权（1分）</w:t>
            </w:r>
          </w:p>
          <w:p>
            <w:pPr>
              <w:widowControl/>
              <w:jc w:val="left"/>
              <w:textAlignment w:val="center"/>
              <w:rPr>
                <w:rFonts w:hint="eastAsia" w:ascii="宋体" w:hAnsi="宋体"/>
                <w:color w:val="auto"/>
                <w:szCs w:val="21"/>
              </w:rPr>
            </w:pPr>
            <w:r>
              <w:rPr>
                <w:rFonts w:hint="eastAsia" w:ascii="宋体" w:hAnsi="宋体"/>
                <w:color w:val="auto"/>
                <w:szCs w:val="21"/>
              </w:rPr>
              <w:t>投标人各类资格认证文件1分，含体系认证、各类专利等。（提供资质证明复印件并加盖投标人公章）</w:t>
            </w:r>
          </w:p>
          <w:p>
            <w:pPr>
              <w:widowControl/>
              <w:numPr>
                <w:ilvl w:val="0"/>
                <w:numId w:val="3"/>
              </w:numPr>
              <w:ind w:left="-420" w:leftChars="0" w:firstLine="420" w:firstLineChars="0"/>
              <w:jc w:val="left"/>
              <w:textAlignment w:val="center"/>
              <w:rPr>
                <w:rFonts w:hint="eastAsia" w:ascii="宋体" w:hAnsi="宋体"/>
                <w:color w:val="auto"/>
                <w:szCs w:val="21"/>
              </w:rPr>
            </w:pPr>
            <w:r>
              <w:rPr>
                <w:rFonts w:hint="eastAsia" w:ascii="宋体" w:hAnsi="宋体"/>
                <w:color w:val="auto"/>
                <w:szCs w:val="21"/>
              </w:rPr>
              <w:t>投标人需提供近3年财务状况说明，成立不满一年的以银行出具的资信证明为准，提供完整财务审计报告或资信证明的得</w:t>
            </w:r>
            <w:r>
              <w:rPr>
                <w:rFonts w:hint="eastAsia" w:ascii="宋体" w:hAnsi="宋体"/>
                <w:color w:val="auto"/>
                <w:szCs w:val="21"/>
                <w:lang w:val="en-US" w:eastAsia="zh-CN"/>
              </w:rPr>
              <w:t>3</w:t>
            </w:r>
            <w:r>
              <w:rPr>
                <w:rFonts w:hint="eastAsia" w:ascii="宋体" w:hAnsi="宋体"/>
                <w:color w:val="auto"/>
                <w:szCs w:val="21"/>
              </w:rPr>
              <w:t>分，提供不完整或者未提供者均不得分。</w:t>
            </w:r>
          </w:p>
          <w:p>
            <w:pPr>
              <w:widowControl/>
              <w:numPr>
                <w:ilvl w:val="0"/>
                <w:numId w:val="3"/>
              </w:numPr>
              <w:ind w:left="-420" w:leftChars="0" w:firstLine="420" w:firstLineChars="0"/>
              <w:jc w:val="left"/>
              <w:textAlignment w:val="center"/>
              <w:rPr>
                <w:rFonts w:hint="eastAsia" w:ascii="宋体" w:hAnsi="宋体" w:cs="宋体"/>
                <w:color w:val="auto"/>
                <w:szCs w:val="21"/>
              </w:rPr>
            </w:pPr>
            <w:r>
              <w:rPr>
                <w:rFonts w:hint="eastAsia" w:ascii="宋体" w:hAnsi="宋体" w:cs="宋体"/>
                <w:bCs/>
                <w:szCs w:val="21"/>
              </w:rPr>
              <w:t>人员配备情况。</w:t>
            </w:r>
            <w:r>
              <w:rPr>
                <w:rFonts w:hint="eastAsia" w:ascii="宋体" w:hAnsi="宋体" w:cs="宋体"/>
                <w:bCs/>
                <w:szCs w:val="21"/>
                <w:lang w:eastAsia="zh-CN"/>
              </w:rPr>
              <w:t>（</w:t>
            </w:r>
            <w:r>
              <w:rPr>
                <w:rFonts w:hint="eastAsia" w:ascii="宋体" w:hAnsi="宋体" w:cs="宋体"/>
                <w:bCs/>
                <w:szCs w:val="21"/>
                <w:lang w:val="en-US" w:eastAsia="zh-CN"/>
              </w:rPr>
              <w:t>1分）</w:t>
            </w:r>
          </w:p>
        </w:tc>
      </w:tr>
      <w:tr>
        <w:tblPrEx>
          <w:tblCellMar>
            <w:top w:w="0" w:type="dxa"/>
            <w:left w:w="108" w:type="dxa"/>
            <w:bottom w:w="0" w:type="dxa"/>
            <w:right w:w="108" w:type="dxa"/>
          </w:tblCellMar>
        </w:tblPrEx>
        <w:trPr>
          <w:trHeight w:val="1035" w:hRule="atLeast"/>
        </w:trPr>
        <w:tc>
          <w:tcPr>
            <w:tcW w:w="412" w:type="pct"/>
            <w:vMerge w:val="continue"/>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cs="宋体"/>
                <w:b/>
                <w:bCs/>
                <w:color w:val="000000"/>
                <w:szCs w:val="21"/>
              </w:rPr>
            </w:pPr>
          </w:p>
        </w:tc>
        <w:tc>
          <w:tcPr>
            <w:tcW w:w="834" w:type="pct"/>
            <w:tcBorders>
              <w:top w:val="single" w:color="000000" w:sz="4" w:space="0"/>
              <w:left w:val="single" w:color="000000" w:sz="4" w:space="0"/>
              <w:bottom w:val="single" w:color="000000" w:sz="8"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服务方案（满分20分）</w:t>
            </w:r>
          </w:p>
        </w:tc>
        <w:tc>
          <w:tcPr>
            <w:tcW w:w="3753" w:type="pct"/>
            <w:tcBorders>
              <w:top w:val="single" w:color="000000" w:sz="4" w:space="0"/>
              <w:left w:val="single" w:color="000000" w:sz="4" w:space="0"/>
              <w:bottom w:val="single" w:color="000000" w:sz="8" w:space="0"/>
              <w:right w:val="single" w:color="000000" w:sz="8" w:space="0"/>
            </w:tcBorders>
            <w:noWrap w:val="0"/>
            <w:vAlign w:val="center"/>
          </w:tcPr>
          <w:p>
            <w:pPr>
              <w:widowControl/>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（1）付款条件（</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分）按各单位能否满足招标人的付款条件进行评分，最高可得</w:t>
            </w: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分。</w:t>
            </w:r>
          </w:p>
          <w:p>
            <w:pPr>
              <w:widowControl/>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（2）售后服务（</w:t>
            </w: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分）按各单位的售后服务条件进行评分，最高可得</w:t>
            </w: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分。</w:t>
            </w:r>
          </w:p>
          <w:p>
            <w:pPr>
              <w:widowControl/>
              <w:textAlignment w:val="center"/>
              <w:rPr>
                <w:rFonts w:hint="eastAsia" w:ascii="宋体" w:hAnsi="宋体"/>
                <w:color w:val="auto"/>
                <w:szCs w:val="21"/>
              </w:rPr>
            </w:pPr>
            <w:r>
              <w:rPr>
                <w:rFonts w:hint="eastAsia" w:ascii="宋体" w:hAnsi="宋体" w:cs="宋体"/>
                <w:color w:val="auto"/>
                <w:kern w:val="0"/>
                <w:szCs w:val="21"/>
                <w:lang w:bidi="ar"/>
              </w:rPr>
              <w:t>（3）</w:t>
            </w:r>
            <w:r>
              <w:rPr>
                <w:rFonts w:hint="eastAsia" w:ascii="宋体" w:hAnsi="宋体"/>
                <w:color w:val="auto"/>
                <w:szCs w:val="21"/>
              </w:rPr>
              <w:t>备货期限（</w:t>
            </w:r>
            <w:r>
              <w:rPr>
                <w:rFonts w:hint="eastAsia" w:ascii="宋体" w:hAnsi="宋体"/>
                <w:color w:val="auto"/>
                <w:szCs w:val="21"/>
                <w:lang w:val="en-US" w:eastAsia="zh-CN"/>
              </w:rPr>
              <w:t>5</w:t>
            </w:r>
            <w:r>
              <w:rPr>
                <w:rFonts w:hint="eastAsia" w:ascii="宋体" w:hAnsi="宋体"/>
                <w:color w:val="auto"/>
                <w:szCs w:val="21"/>
              </w:rPr>
              <w:t>分）评委根据各单位给出的备货期从高到底进行打分。</w:t>
            </w:r>
          </w:p>
          <w:p>
            <w:pPr>
              <w:widowControl/>
              <w:textAlignment w:val="center"/>
              <w:rPr>
                <w:rFonts w:hint="eastAsia" w:ascii="宋体" w:hAnsi="宋体" w:cs="宋体"/>
                <w:bCs/>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s="宋体"/>
                <w:bCs/>
                <w:szCs w:val="21"/>
              </w:rPr>
              <w:t>按照对服务需求理解、完成时间、招标人对本项目提出合理具有针对性的重点难点分析及用户需要的建议性意见等因素详细编写。</w:t>
            </w:r>
            <w:r>
              <w:rPr>
                <w:rFonts w:hint="eastAsia" w:ascii="宋体" w:hAnsi="宋体" w:cs="宋体"/>
                <w:bCs/>
                <w:szCs w:val="21"/>
                <w:lang w:eastAsia="zh-CN"/>
              </w:rPr>
              <w:t>（</w:t>
            </w:r>
            <w:r>
              <w:rPr>
                <w:rFonts w:hint="eastAsia" w:ascii="宋体" w:hAnsi="宋体" w:cs="宋体"/>
                <w:bCs/>
                <w:szCs w:val="21"/>
                <w:lang w:val="en-US" w:eastAsia="zh-CN"/>
              </w:rPr>
              <w:t>3分）</w:t>
            </w:r>
          </w:p>
          <w:p>
            <w:pPr>
              <w:widowControl/>
              <w:textAlignment w:val="center"/>
              <w:rPr>
                <w:rFonts w:hint="default" w:ascii="宋体" w:hAnsi="宋体" w:eastAsia="宋体" w:cs="宋体"/>
                <w:color w:val="auto"/>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5）</w:t>
            </w:r>
            <w:r>
              <w:rPr>
                <w:rFonts w:hint="eastAsia" w:ascii="宋体" w:hAnsi="宋体" w:cs="宋体"/>
                <w:bCs/>
                <w:szCs w:val="21"/>
              </w:rPr>
              <w:t>服务保障方案，如问题处理反馈沟通机制、紧急（突发）事情处理方案、跟踪问效后继服务制度等。</w:t>
            </w:r>
            <w:r>
              <w:rPr>
                <w:rFonts w:hint="eastAsia" w:ascii="宋体" w:hAnsi="宋体" w:cs="宋体"/>
                <w:bCs/>
                <w:szCs w:val="21"/>
                <w:lang w:eastAsia="zh-CN"/>
              </w:rPr>
              <w:t>（</w:t>
            </w:r>
            <w:r>
              <w:rPr>
                <w:rFonts w:hint="eastAsia" w:ascii="宋体" w:hAnsi="宋体" w:cs="宋体"/>
                <w:bCs/>
                <w:szCs w:val="21"/>
                <w:lang w:val="en-US" w:eastAsia="zh-CN"/>
              </w:rPr>
              <w:t>4分）</w:t>
            </w:r>
          </w:p>
        </w:tc>
      </w:tr>
    </w:tbl>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）投标总得分：</w:t>
      </w:r>
    </w:p>
    <w:p>
      <w:pPr>
        <w:spacing w:line="360" w:lineRule="auto"/>
        <w:ind w:firstLine="420" w:firstLineChars="200"/>
        <w:rPr>
          <w:rFonts w:ascii="宋体"/>
          <w:kern w:val="0"/>
          <w:szCs w:val="21"/>
        </w:rPr>
      </w:pPr>
      <w:r>
        <w:rPr>
          <w:rFonts w:hint="eastAsia" w:ascii="宋体" w:hAnsi="宋体"/>
          <w:kern w:val="0"/>
          <w:szCs w:val="21"/>
        </w:rPr>
        <w:t>投标总得分</w:t>
      </w:r>
      <w:r>
        <w:rPr>
          <w:rFonts w:ascii="宋体" w:hAnsi="宋体"/>
          <w:kern w:val="0"/>
          <w:szCs w:val="21"/>
        </w:rPr>
        <w:t>=</w:t>
      </w:r>
      <w:r>
        <w:rPr>
          <w:rFonts w:hint="eastAsia" w:ascii="宋体" w:hAnsi="宋体"/>
          <w:kern w:val="0"/>
          <w:szCs w:val="21"/>
        </w:rPr>
        <w:t>投标报价得分</w:t>
      </w:r>
      <w:r>
        <w:rPr>
          <w:rFonts w:ascii="宋体" w:hAnsi="宋体"/>
          <w:kern w:val="0"/>
          <w:szCs w:val="21"/>
        </w:rPr>
        <w:t>+</w:t>
      </w:r>
      <w:r>
        <w:rPr>
          <w:rFonts w:hint="eastAsia" w:ascii="宋体" w:hAnsi="宋体"/>
          <w:kern w:val="0"/>
          <w:szCs w:val="21"/>
        </w:rPr>
        <w:t>详细评审得分，小数点后保留两位，</w:t>
      </w:r>
      <w:r>
        <w:rPr>
          <w:rFonts w:hint="eastAsia" w:hAnsi="宋体"/>
        </w:rPr>
        <w:t>小数点后第三位“四舍五入”。</w:t>
      </w:r>
    </w:p>
    <w:p>
      <w:pPr>
        <w:spacing w:line="360" w:lineRule="auto"/>
        <w:ind w:firstLine="422" w:firstLineChars="200"/>
        <w:rPr>
          <w:rFonts w:ascii="宋体"/>
          <w:b/>
          <w:bCs/>
          <w:szCs w:val="21"/>
        </w:rPr>
      </w:pPr>
      <w:r>
        <w:rPr>
          <w:rFonts w:hint="eastAsia" w:ascii="宋体" w:hAnsi="宋体"/>
          <w:b/>
          <w:bCs/>
          <w:szCs w:val="21"/>
        </w:rPr>
        <w:t>一、投标文件的澄清</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在评标阶段，评标委员会认为需要时，可书面通知投标人澄清其投标文件中的问题，澄清的内容包括对算术性修正的确认、对非实质性的遗漏、不完整的技术信息和数据的纠正等或者要求补充某些资料，包括报价的分析资料等，对此，投标人不得拒绝。投标人的澄清和纠正内容将作为其投标文件的组成部分。</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有关澄清的要求和答复，应以书面形式进行，投标人不得借澄清问题的机会，与招标人或评标人员私下接触或对原投标报价和内容提出修改，澄清不得改变投标文件的实质性内容，也不得对其他投标人造成不公平的结果。但在评标中对发现的算术性差错进行的核实、修正，则不在此列，评标委员会不接受投标人主动提出的澄清。</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标处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、投标报价有算术错误的，评标委员会按照以下原则对投标报价进行修正，修正的价格经投标人书面确认后具有约束力。投标人不接受修正价格的，评标委员会应当否决其投标。</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）投标文件中的大写金额与小写金额不一致的，以大写金额为准；</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）总价金额与根据单价计算出的结果不一致的，以单价金额为准修正总价，但单价金额小数点有明显错误的除外。</w:t>
      </w:r>
    </w:p>
    <w:p>
      <w:pPr>
        <w:spacing w:line="360" w:lineRule="auto"/>
        <w:ind w:firstLine="422" w:firstLineChars="200"/>
        <w:rPr>
          <w:rFonts w:ascii="宋体"/>
          <w:b/>
          <w:bCs/>
          <w:szCs w:val="21"/>
        </w:rPr>
      </w:pPr>
      <w:r>
        <w:rPr>
          <w:rFonts w:hint="eastAsia" w:ascii="宋体" w:hAnsi="宋体"/>
          <w:b/>
          <w:bCs/>
          <w:szCs w:val="21"/>
        </w:rPr>
        <w:t>二、评标规则</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、评标委员会成员只能按本评标细则确定的评分项目、内容、要求进行打分，不能另行列项，否则视为废票。投标人的投标得分为各评委分数的算术平均值。</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、评分、计分工作均在监督人员的监督下进行，计分结果经监督人员签字后才有效。</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对于定性评价部分评标委员会成员对各投标人的各项投标文件内容评分时必须根据其自身经验及判断客观评判，将各子项的最高分给予其认为最能满足招标文件该项内容要求的投标人，其它按优劣顺序依次给予适当的评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、评分为记名方式，评分由评标委员会成员各自独立打分，不得相互商议。</w:t>
      </w:r>
    </w:p>
    <w:p>
      <w:pPr>
        <w:spacing w:line="360" w:lineRule="auto"/>
        <w:ind w:firstLine="420" w:firstLineChars="200"/>
        <w:rPr>
          <w:rFonts w:ascii="宋体"/>
          <w:bCs/>
          <w:szCs w:val="21"/>
        </w:rPr>
      </w:pPr>
      <w:r>
        <w:rPr>
          <w:rFonts w:ascii="宋体" w:hAnsi="宋体"/>
          <w:bCs/>
          <w:szCs w:val="21"/>
        </w:rPr>
        <w:t>5</w:t>
      </w:r>
      <w:r>
        <w:rPr>
          <w:rFonts w:hint="eastAsia" w:ascii="宋体" w:hAnsi="宋体"/>
          <w:bCs/>
          <w:szCs w:val="21"/>
        </w:rPr>
        <w:t>、评标委员会完成评标后，应当向招标人递交书面评标报告。</w:t>
      </w:r>
    </w:p>
    <w:p>
      <w:pPr>
        <w:pStyle w:val="77"/>
        <w:spacing w:before="240" w:after="120"/>
        <w:ind w:firstLine="2502" w:firstLineChars="890"/>
        <w:jc w:val="both"/>
        <w:rPr>
          <w:rStyle w:val="48"/>
          <w:rFonts w:hint="eastAsia"/>
          <w:b/>
          <w:bCs/>
          <w:sz w:val="28"/>
          <w:szCs w:val="28"/>
        </w:rPr>
      </w:pPr>
      <w:bookmarkStart w:id="504" w:name="_Toc226969316"/>
      <w:bookmarkStart w:id="505" w:name="_Toc227057922"/>
      <w:bookmarkStart w:id="506" w:name="_Toc447265562"/>
      <w:bookmarkStart w:id="507" w:name="_Toc447265276"/>
      <w:bookmarkStart w:id="508" w:name="_Toc107822520"/>
      <w:r>
        <w:rPr>
          <w:rFonts w:ascii="宋体" w:cs="宋体"/>
          <w:b/>
          <w:bCs w:val="0"/>
          <w:kern w:val="0"/>
          <w:sz w:val="28"/>
          <w:szCs w:val="28"/>
        </w:rPr>
        <w:br w:type="page"/>
      </w:r>
      <w:bookmarkStart w:id="509" w:name="_Toc16175986"/>
      <w:bookmarkStart w:id="510" w:name="_Toc26684"/>
      <w:r>
        <w:rPr>
          <w:rStyle w:val="48"/>
          <w:rFonts w:hint="eastAsia"/>
          <w:b/>
          <w:bCs/>
          <w:sz w:val="28"/>
          <w:szCs w:val="28"/>
        </w:rPr>
        <w:t>第四章  招标人技术/服务需求</w:t>
      </w:r>
      <w:bookmarkEnd w:id="509"/>
      <w:bookmarkEnd w:id="510"/>
    </w:p>
    <w:p>
      <w:pPr>
        <w:spacing w:line="360" w:lineRule="auto"/>
        <w:ind w:firstLine="420" w:firstLineChars="200"/>
        <w:rPr>
          <w:rFonts w:ascii="宋体" w:hAnsi="宋体"/>
          <w:bCs/>
          <w:szCs w:val="21"/>
        </w:rPr>
      </w:pPr>
    </w:p>
    <w:p>
      <w:pPr>
        <w:numPr>
          <w:ilvl w:val="0"/>
          <w:numId w:val="4"/>
        </w:numPr>
        <w:spacing w:line="360" w:lineRule="auto"/>
        <w:ind w:firstLine="422" w:firstLineChars="200"/>
        <w:rPr>
          <w:rFonts w:hint="eastAsia" w:ascii="宋体" w:hAnsi="宋体"/>
        </w:rPr>
      </w:pPr>
      <w:r>
        <w:rPr>
          <w:rFonts w:hint="eastAsia" w:ascii="宋体" w:hAnsi="宋体"/>
          <w:b/>
          <w:bCs/>
        </w:rPr>
        <w:t>项目名称：</w:t>
      </w:r>
      <w:r>
        <w:rPr>
          <w:rFonts w:hint="eastAsia" w:ascii="宋体" w:hAnsi="宋体" w:cs="宋体"/>
          <w:bCs/>
          <w:szCs w:val="21"/>
          <w:u w:val="single"/>
        </w:rPr>
        <w:t>S103济枣线山亭区凫城至市中区曾店段改建工程商品混凝土采购</w:t>
      </w:r>
      <w:r>
        <w:rPr>
          <w:rFonts w:hint="eastAsia" w:ascii="宋体" w:hAnsi="宋体"/>
          <w:szCs w:val="21"/>
        </w:rPr>
        <w:t xml:space="preserve">    </w:t>
      </w:r>
      <w:r>
        <w:rPr>
          <w:rFonts w:hint="eastAsia" w:ascii="宋体" w:hAnsi="宋体"/>
        </w:rPr>
        <w:t xml:space="preserve">                           </w:t>
      </w:r>
    </w:p>
    <w:p>
      <w:pPr>
        <w:numPr>
          <w:ilvl w:val="0"/>
          <w:numId w:val="4"/>
        </w:numPr>
        <w:spacing w:line="360" w:lineRule="auto"/>
        <w:ind w:firstLine="422" w:firstLineChars="200"/>
        <w:rPr>
          <w:rFonts w:hint="eastAsia" w:ascii="宋体" w:hAnsi="宋体"/>
          <w:b/>
          <w:bCs/>
        </w:rPr>
      </w:pPr>
      <w:r>
        <w:rPr>
          <w:rFonts w:hint="eastAsia" w:ascii="宋体" w:hAnsi="宋体"/>
          <w:b/>
          <w:bCs/>
        </w:rPr>
        <w:t>项目内容：</w:t>
      </w:r>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1、工程地点：山东省枣庄市山亭区凫城镇。</w:t>
      </w:r>
    </w:p>
    <w:p>
      <w:pPr>
        <w:pStyle w:val="35"/>
        <w:shd w:val="clear" w:color="auto" w:fill="FFFFFF"/>
        <w:spacing w:before="0" w:beforeAutospacing="0" w:after="0" w:afterAutospacing="0" w:line="380" w:lineRule="exact"/>
        <w:ind w:firstLine="420" w:firstLineChars="200"/>
        <w:rPr>
          <w:rFonts w:cs="Times New Roman"/>
          <w:color w:val="FF0000"/>
          <w:kern w:val="2"/>
          <w:sz w:val="21"/>
          <w:szCs w:val="21"/>
        </w:rPr>
      </w:pPr>
      <w:r>
        <w:rPr>
          <w:rFonts w:hint="eastAsia" w:cs="Times New Roman"/>
          <w:kern w:val="2"/>
          <w:sz w:val="21"/>
          <w:szCs w:val="21"/>
        </w:rPr>
        <w:t>2、招标内容：</w:t>
      </w:r>
      <w:r>
        <w:rPr>
          <w:rFonts w:hint="eastAsia" w:cs="Times New Roman"/>
          <w:color w:val="auto"/>
          <w:kern w:val="2"/>
          <w:sz w:val="21"/>
          <w:szCs w:val="21"/>
        </w:rPr>
        <w:t>项目所需商品</w:t>
      </w:r>
      <w:r>
        <w:rPr>
          <w:rFonts w:cs="Times New Roman"/>
          <w:color w:val="auto"/>
          <w:kern w:val="2"/>
          <w:sz w:val="21"/>
          <w:szCs w:val="21"/>
        </w:rPr>
        <w:t>混凝土</w:t>
      </w:r>
      <w:r>
        <w:rPr>
          <w:rFonts w:hint="eastAsia" w:cs="Times New Roman"/>
          <w:color w:val="auto"/>
          <w:kern w:val="2"/>
          <w:sz w:val="21"/>
          <w:szCs w:val="21"/>
        </w:rPr>
        <w:t>约</w:t>
      </w:r>
      <w:r>
        <w:rPr>
          <w:rFonts w:hint="eastAsia" w:cs="Times New Roman"/>
          <w:kern w:val="2"/>
          <w:sz w:val="21"/>
          <w:szCs w:val="21"/>
        </w:rPr>
        <w:t>6</w:t>
      </w:r>
      <w:r>
        <w:rPr>
          <w:rFonts w:hint="eastAsia" w:cs="Times New Roman"/>
          <w:kern w:val="2"/>
          <w:sz w:val="21"/>
          <w:szCs w:val="21"/>
          <w:lang w:val="en-US" w:eastAsia="zh-CN"/>
        </w:rPr>
        <w:t>5000</w:t>
      </w:r>
      <w:r>
        <w:rPr>
          <w:rFonts w:hint="eastAsia"/>
          <w:color w:val="auto"/>
          <w:sz w:val="21"/>
          <w:szCs w:val="21"/>
        </w:rPr>
        <w:t>m</w:t>
      </w:r>
      <w:r>
        <w:rPr>
          <w:rFonts w:hint="eastAsia"/>
          <w:color w:val="auto"/>
          <w:sz w:val="21"/>
          <w:szCs w:val="21"/>
          <w:vertAlign w:val="superscript"/>
        </w:rPr>
        <w:t>3</w:t>
      </w:r>
      <w:r>
        <w:rPr>
          <w:rFonts w:hint="eastAsia" w:cs="Times New Roman"/>
          <w:kern w:val="2"/>
          <w:sz w:val="21"/>
          <w:szCs w:val="21"/>
          <w:lang w:eastAsia="zh-CN"/>
        </w:rPr>
        <w:t>（</w:t>
      </w:r>
      <w:r>
        <w:rPr>
          <w:rFonts w:hint="eastAsia" w:ascii="宋体" w:hAnsi="宋体" w:eastAsia="宋体" w:cs="宋体"/>
          <w:sz w:val="21"/>
          <w:szCs w:val="21"/>
        </w:rPr>
        <w:t>数量、品类均为暂估，不作为结算依据，具体结算以</w:t>
      </w:r>
      <w:r>
        <w:rPr>
          <w:rFonts w:hint="eastAsia" w:cs="宋体"/>
          <w:sz w:val="21"/>
          <w:szCs w:val="21"/>
          <w:lang w:eastAsia="zh-CN"/>
        </w:rPr>
        <w:t>招标人</w:t>
      </w:r>
      <w:r>
        <w:rPr>
          <w:rFonts w:hint="eastAsia" w:ascii="宋体" w:hAnsi="宋体" w:eastAsia="宋体" w:cs="宋体"/>
          <w:sz w:val="21"/>
          <w:szCs w:val="21"/>
        </w:rPr>
        <w:t>实际进货并验收合格的数量为准</w:t>
      </w:r>
      <w:r>
        <w:rPr>
          <w:rFonts w:hint="eastAsia" w:cs="宋体"/>
          <w:lang w:eastAsia="zh-CN"/>
        </w:rPr>
        <w:t>）</w:t>
      </w:r>
      <w:r>
        <w:rPr>
          <w:rFonts w:hint="eastAsia" w:cs="Times New Roman"/>
          <w:color w:val="auto"/>
          <w:kern w:val="2"/>
          <w:sz w:val="21"/>
          <w:szCs w:val="21"/>
        </w:rPr>
        <w:t>。</w:t>
      </w:r>
    </w:p>
    <w:p>
      <w:pPr>
        <w:pStyle w:val="35"/>
        <w:shd w:val="clear" w:color="auto" w:fill="FFFFFF"/>
        <w:spacing w:before="0" w:beforeAutospacing="0" w:after="0" w:afterAutospacing="0" w:line="380" w:lineRule="exact"/>
        <w:ind w:firstLine="420" w:firstLineChars="200"/>
        <w:rPr>
          <w:rFonts w:hint="eastAsia" w:cs="Times New Roman"/>
          <w:color w:val="FF0000"/>
          <w:kern w:val="2"/>
          <w:sz w:val="21"/>
          <w:szCs w:val="21"/>
        </w:rPr>
      </w:pPr>
      <w:r>
        <w:rPr>
          <w:rFonts w:hint="eastAsia" w:cs="Times New Roman"/>
          <w:bCs/>
          <w:sz w:val="21"/>
          <w:szCs w:val="21"/>
        </w:rPr>
        <w:t>3</w:t>
      </w:r>
      <w:r>
        <w:rPr>
          <w:rFonts w:hint="eastAsia" w:cs="Times New Roman"/>
          <w:bCs/>
          <w:szCs w:val="21"/>
        </w:rPr>
        <w:t>、</w:t>
      </w:r>
      <w:r>
        <w:rPr>
          <w:rFonts w:hint="eastAsia" w:cs="Times New Roman"/>
          <w:kern w:val="2"/>
          <w:sz w:val="21"/>
          <w:szCs w:val="21"/>
        </w:rPr>
        <w:t>采购单位视需要，可对供应单位供应内容作出增减或调整，供应单位应无条件接受。</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三、商品混凝土规格、单价、数量及价格（单位：人民币 元/立方米）</w:t>
      </w:r>
    </w:p>
    <w:tbl>
      <w:tblPr>
        <w:tblStyle w:val="3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4"/>
        <w:gridCol w:w="2042"/>
        <w:gridCol w:w="2477"/>
        <w:gridCol w:w="4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bCs/>
                <w:color w:val="auto"/>
                <w:szCs w:val="21"/>
                <w:highlight w:val="none"/>
              </w:rPr>
            </w:pPr>
            <w:r>
              <w:rPr>
                <w:rFonts w:hint="eastAsia" w:ascii="宋体" w:hAnsi="宋体"/>
                <w:b/>
                <w:bCs w:val="0"/>
                <w:color w:val="auto"/>
                <w:szCs w:val="21"/>
                <w:highlight w:val="none"/>
              </w:rPr>
              <w:t>序号</w:t>
            </w:r>
          </w:p>
        </w:tc>
        <w:tc>
          <w:tcPr>
            <w:tcW w:w="2086" w:type="dxa"/>
            <w:gridSpan w:val="2"/>
            <w:noWrap w:val="0"/>
            <w:vAlign w:val="center"/>
          </w:tcPr>
          <w:p>
            <w:pPr>
              <w:spacing w:line="360" w:lineRule="auto"/>
              <w:jc w:val="center"/>
              <w:rPr>
                <w:rFonts w:hint="eastAsia" w:ascii="宋体" w:hAnsi="宋体" w:eastAsia="宋体"/>
                <w:bCs/>
                <w:color w:val="auto"/>
                <w:szCs w:val="21"/>
                <w:highlight w:val="none"/>
                <w:lang w:eastAsia="zh-CN"/>
              </w:rPr>
            </w:pPr>
            <w:r>
              <w:rPr>
                <w:rFonts w:hint="eastAsia" w:ascii="宋体" w:hAnsi="宋体"/>
                <w:b/>
                <w:bCs w:val="0"/>
                <w:color w:val="auto"/>
                <w:szCs w:val="21"/>
                <w:highlight w:val="none"/>
              </w:rPr>
              <w:t>混凝土标号</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税率</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b/>
                <w:bCs w:val="0"/>
                <w:color w:val="auto"/>
                <w:szCs w:val="21"/>
                <w:highlight w:val="none"/>
              </w:rPr>
              <w:t>混凝土方量</w:t>
            </w:r>
            <w:r>
              <w:rPr>
                <w:rFonts w:hint="eastAsia" w:ascii="宋体" w:hAnsi="宋体"/>
                <w:b/>
                <w:bCs w:val="0"/>
                <w:color w:val="auto"/>
                <w:szCs w:val="21"/>
                <w:highlight w:val="none"/>
                <w:lang w:val="en-US" w:eastAsia="zh-CN"/>
              </w:rPr>
              <w:t>(暂估）:</w:t>
            </w:r>
            <w:r>
              <w:rPr>
                <w:rFonts w:hint="eastAsia" w:ascii="宋体" w:hAnsi="宋体"/>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bCs/>
                <w:color w:val="auto"/>
                <w:szCs w:val="21"/>
              </w:rPr>
            </w:pPr>
            <w:r>
              <w:rPr>
                <w:rFonts w:hint="eastAsia" w:ascii="宋体" w:hAnsi="宋体"/>
                <w:b/>
                <w:bCs w:val="0"/>
                <w:color w:val="auto"/>
                <w:szCs w:val="21"/>
                <w:highlight w:val="none"/>
              </w:rPr>
              <w:t>1</w:t>
            </w:r>
          </w:p>
        </w:tc>
        <w:tc>
          <w:tcPr>
            <w:tcW w:w="2086" w:type="dxa"/>
            <w:gridSpan w:val="2"/>
            <w:noWrap w:val="0"/>
            <w:vAlign w:val="center"/>
          </w:tcPr>
          <w:p>
            <w:pPr>
              <w:spacing w:line="360" w:lineRule="auto"/>
              <w:ind w:firstLine="422" w:firstLineChars="200"/>
              <w:jc w:val="both"/>
              <w:rPr>
                <w:rFonts w:hint="default" w:ascii="宋体" w:hAnsi="宋体" w:eastAsia="宋体"/>
                <w:bCs/>
                <w:color w:val="auto"/>
                <w:szCs w:val="21"/>
                <w:lang w:val="en-US" w:eastAsia="zh-CN"/>
              </w:rPr>
            </w:pPr>
            <w:r>
              <w:rPr>
                <w:rFonts w:hint="eastAsia" w:ascii="宋体" w:hAnsi="宋体"/>
                <w:b/>
                <w:bCs w:val="0"/>
                <w:color w:val="auto"/>
                <w:szCs w:val="21"/>
                <w:lang w:val="en-US" w:eastAsia="zh-CN"/>
              </w:rPr>
              <w:t>C10</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1</w:t>
            </w:r>
            <w:r>
              <w:rPr>
                <w:rFonts w:ascii="宋体" w:hAnsi="宋体" w:cs="宋体"/>
                <w:b/>
                <w:bCs/>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eastAsia="宋体"/>
                <w:bCs/>
                <w:color w:val="auto"/>
                <w:szCs w:val="21"/>
                <w:lang w:val="en-US" w:eastAsia="zh-CN"/>
              </w:rPr>
            </w:pPr>
            <w:r>
              <w:rPr>
                <w:rFonts w:hint="eastAsia" w:ascii="宋体" w:hAnsi="宋体"/>
                <w:b/>
                <w:bCs w:val="0"/>
                <w:color w:val="auto"/>
                <w:szCs w:val="21"/>
                <w:lang w:val="en-US" w:eastAsia="zh-CN"/>
              </w:rPr>
              <w:t>2</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C15</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3</w:t>
            </w:r>
            <w:r>
              <w:rPr>
                <w:rFonts w:ascii="宋体" w:hAnsi="宋体" w:cs="宋体"/>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eastAsia="宋体"/>
                <w:bCs/>
                <w:color w:val="auto"/>
                <w:szCs w:val="21"/>
                <w:lang w:val="en-US" w:eastAsia="zh-CN"/>
              </w:rPr>
            </w:pPr>
            <w:r>
              <w:rPr>
                <w:rFonts w:hint="eastAsia" w:ascii="宋体" w:hAnsi="宋体"/>
                <w:b/>
                <w:bCs w:val="0"/>
                <w:color w:val="auto"/>
                <w:szCs w:val="21"/>
                <w:lang w:val="en-US" w:eastAsia="zh-CN"/>
              </w:rPr>
              <w:t>3</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C20</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1</w:t>
            </w:r>
            <w:r>
              <w:rPr>
                <w:rFonts w:ascii="宋体" w:hAnsi="宋体" w:cs="宋体"/>
                <w:b/>
                <w:bCs/>
              </w:rPr>
              <w:t>6769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eastAsia="宋体"/>
                <w:bCs/>
                <w:color w:val="auto"/>
                <w:szCs w:val="21"/>
                <w:lang w:val="en-US" w:eastAsia="zh-CN"/>
              </w:rPr>
            </w:pPr>
            <w:r>
              <w:rPr>
                <w:rFonts w:hint="eastAsia" w:ascii="宋体" w:hAnsi="宋体"/>
                <w:b/>
                <w:bCs w:val="0"/>
                <w:color w:val="auto"/>
                <w:szCs w:val="21"/>
                <w:lang w:val="en-US" w:eastAsia="zh-CN"/>
              </w:rPr>
              <w:t>4</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C25</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9</w:t>
            </w:r>
            <w:r>
              <w:rPr>
                <w:rFonts w:ascii="宋体" w:hAnsi="宋体" w:cs="宋体"/>
                <w:b/>
                <w:bCs/>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eastAsia="宋体"/>
                <w:bCs/>
                <w:color w:val="auto"/>
                <w:szCs w:val="21"/>
                <w:lang w:val="en-US" w:eastAsia="zh-CN"/>
              </w:rPr>
            </w:pPr>
            <w:r>
              <w:rPr>
                <w:rFonts w:hint="eastAsia" w:ascii="宋体" w:hAnsi="宋体"/>
                <w:b/>
                <w:bCs w:val="0"/>
                <w:color w:val="auto"/>
                <w:szCs w:val="21"/>
                <w:lang w:val="en-US" w:eastAsia="zh-CN"/>
              </w:rPr>
              <w:t>5</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C30</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3</w:t>
            </w:r>
            <w:r>
              <w:rPr>
                <w:rFonts w:ascii="宋体" w:hAnsi="宋体" w:cs="宋体"/>
                <w:b/>
                <w:bCs/>
              </w:rPr>
              <w:t>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eastAsia" w:ascii="宋体" w:hAnsi="宋体" w:eastAsia="宋体"/>
                <w:bCs/>
                <w:color w:val="auto"/>
                <w:szCs w:val="21"/>
                <w:lang w:val="en-US" w:eastAsia="zh-CN"/>
              </w:rPr>
            </w:pPr>
            <w:r>
              <w:rPr>
                <w:rFonts w:hint="eastAsia" w:ascii="宋体" w:hAnsi="宋体"/>
                <w:b/>
                <w:bCs w:val="0"/>
                <w:color w:val="auto"/>
                <w:szCs w:val="21"/>
                <w:lang w:val="en-US" w:eastAsia="zh-CN"/>
              </w:rPr>
              <w:t>6</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C35</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3</w:t>
            </w:r>
            <w:r>
              <w:rPr>
                <w:rFonts w:ascii="宋体" w:hAnsi="宋体" w:cs="宋体"/>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7</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C40</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1</w:t>
            </w:r>
            <w:r>
              <w:rPr>
                <w:rFonts w:ascii="宋体" w:hAnsi="宋体" w:cs="宋体"/>
                <w:b/>
                <w:bCs/>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73" w:type="dxa"/>
            <w:noWrap w:val="0"/>
            <w:vAlign w:val="center"/>
          </w:tcPr>
          <w:p>
            <w:pPr>
              <w:spacing w:line="360" w:lineRule="auto"/>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8</w:t>
            </w:r>
          </w:p>
        </w:tc>
        <w:tc>
          <w:tcPr>
            <w:tcW w:w="2086" w:type="dxa"/>
            <w:gridSpan w:val="2"/>
            <w:noWrap w:val="0"/>
            <w:vAlign w:val="center"/>
          </w:tcPr>
          <w:p>
            <w:pPr>
              <w:spacing w:line="360" w:lineRule="auto"/>
              <w:ind w:firstLine="422" w:firstLineChars="200"/>
              <w:jc w:val="both"/>
              <w:rPr>
                <w:rFonts w:hint="default" w:ascii="宋体" w:hAnsi="宋体"/>
                <w:bCs/>
                <w:color w:val="auto"/>
                <w:szCs w:val="21"/>
                <w:lang w:val="en-US" w:eastAsia="zh-CN"/>
              </w:rPr>
            </w:pPr>
            <w:r>
              <w:rPr>
                <w:rFonts w:hint="eastAsia" w:ascii="宋体" w:hAnsi="宋体"/>
                <w:b/>
                <w:bCs w:val="0"/>
                <w:color w:val="auto"/>
                <w:szCs w:val="21"/>
                <w:lang w:val="en-US" w:eastAsia="zh-CN"/>
              </w:rPr>
              <w:t>C50</w:t>
            </w:r>
          </w:p>
        </w:tc>
        <w:tc>
          <w:tcPr>
            <w:tcW w:w="2477" w:type="dxa"/>
            <w:noWrap w:val="0"/>
            <w:vAlign w:val="center"/>
          </w:tcPr>
          <w:p>
            <w:pPr>
              <w:spacing w:line="360" w:lineRule="auto"/>
              <w:ind w:firstLine="422" w:firstLineChars="200"/>
              <w:jc w:val="center"/>
              <w:rPr>
                <w:rFonts w:hint="eastAsia" w:ascii="宋体" w:hAnsi="宋体"/>
                <w:bCs/>
                <w:color w:val="auto"/>
                <w:szCs w:val="21"/>
                <w:highlight w:val="none"/>
              </w:rPr>
            </w:pPr>
            <w:r>
              <w:rPr>
                <w:rFonts w:hint="eastAsia" w:ascii="宋体" w:hAnsi="宋体" w:cs="宋体"/>
                <w:b/>
                <w:bCs/>
                <w:lang w:val="en-US" w:eastAsia="zh-CN"/>
              </w:rPr>
              <w:t>3%</w:t>
            </w:r>
          </w:p>
        </w:tc>
        <w:tc>
          <w:tcPr>
            <w:tcW w:w="4084" w:type="dxa"/>
            <w:noWrap w:val="0"/>
            <w:vAlign w:val="center"/>
          </w:tcPr>
          <w:p>
            <w:pPr>
              <w:spacing w:line="360" w:lineRule="auto"/>
              <w:ind w:firstLine="422" w:firstLineChars="20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bCs/>
              </w:rPr>
              <w:t>2</w:t>
            </w:r>
            <w:r>
              <w:rPr>
                <w:rFonts w:ascii="宋体" w:hAnsi="宋体" w:cs="宋体"/>
                <w:b/>
                <w:bCs/>
              </w:rPr>
              <w:t>567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9420" w:type="dxa"/>
            <w:gridSpan w:val="5"/>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rPr>
              <w:t>外加剂及泵送费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en-US" w:eastAsia="zh-CN"/>
              </w:rPr>
            </w:pPr>
            <w:r>
              <w:rPr>
                <w:rFonts w:hint="eastAsia" w:ascii="宋体" w:hAnsi="宋体" w:cs="宋体" w:eastAsiaTheme="minorEastAsia"/>
                <w:b/>
                <w:bCs/>
                <w:lang w:val="en-US" w:eastAsia="zh-CN"/>
              </w:rPr>
              <w:t>序号</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eastAsia="宋体" w:cs="宋体"/>
                <w:b/>
                <w:bCs/>
                <w:lang w:val="en-US" w:eastAsia="zh-CN"/>
              </w:rPr>
            </w:pPr>
            <w:r>
              <w:rPr>
                <w:rFonts w:hint="eastAsia" w:ascii="宋体" w:hAnsi="宋体" w:cs="宋体"/>
                <w:b/>
                <w:bCs/>
                <w:lang w:val="en-US" w:eastAsia="zh-CN"/>
              </w:rPr>
              <w:t>名称</w:t>
            </w:r>
          </w:p>
        </w:tc>
        <w:tc>
          <w:tcPr>
            <w:tcW w:w="2477"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tabs>
                <w:tab w:val="left" w:pos="1157"/>
              </w:tabs>
              <w:spacing w:line="400" w:lineRule="exact"/>
              <w:jc w:val="center"/>
              <w:rPr>
                <w:rFonts w:hint="default" w:ascii="宋体" w:hAnsi="宋体" w:cs="宋体"/>
                <w:b/>
                <w:bCs/>
                <w:lang w:val="en-US" w:eastAsia="zh-CN"/>
              </w:rPr>
            </w:pPr>
            <w:r>
              <w:rPr>
                <w:rFonts w:hint="eastAsia" w:ascii="宋体" w:hAnsi="宋体" w:cs="宋体"/>
                <w:b/>
                <w:bCs/>
                <w:lang w:val="en-US" w:eastAsia="zh-CN"/>
              </w:rPr>
              <w:t>税率</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tabs>
                <w:tab w:val="left" w:pos="1157"/>
              </w:tabs>
              <w:spacing w:line="400" w:lineRule="exact"/>
              <w:jc w:val="center"/>
              <w:rPr>
                <w:rFonts w:hint="eastAsia" w:ascii="宋体" w:hAnsi="宋体" w:cs="宋体"/>
                <w:b/>
                <w:bCs/>
                <w:lang w:val="en-US" w:eastAsia="zh-CN"/>
              </w:rPr>
            </w:pPr>
            <w:r>
              <w:rPr>
                <w:rFonts w:hint="eastAsia" w:ascii="宋体" w:hAnsi="宋体" w:cs="宋体"/>
                <w:b/>
                <w:bCs/>
                <w:lang w:val="en-US" w:eastAsia="zh-CN"/>
              </w:rPr>
              <w:t>等级</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zh-TW"/>
              </w:rPr>
            </w:pPr>
            <w:r>
              <w:rPr>
                <w:rFonts w:hint="eastAsia" w:ascii="宋体" w:hAnsi="宋体" w:cs="宋体" w:eastAsiaTheme="minorEastAsia"/>
                <w:b/>
                <w:bCs/>
                <w:lang w:val="zh-TW"/>
              </w:rPr>
              <w:t>1</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lang w:val="zh-TW"/>
              </w:rPr>
              <w:t>抗渗</w:t>
            </w:r>
          </w:p>
        </w:tc>
        <w:tc>
          <w:tcPr>
            <w:tcW w:w="2477"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tabs>
                <w:tab w:val="left" w:pos="1157"/>
              </w:tabs>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3%</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tabs>
                <w:tab w:val="left" w:pos="1157"/>
              </w:tabs>
              <w:spacing w:line="400" w:lineRule="exact"/>
              <w:jc w:val="center"/>
              <w:rPr>
                <w:rFonts w:hint="eastAsia" w:ascii="宋体" w:hAnsi="宋体" w:cs="宋体"/>
                <w:b/>
                <w:bCs/>
                <w:lang w:val="en-US" w:eastAsia="zh-CN"/>
              </w:rPr>
            </w:pPr>
            <w:r>
              <w:rPr>
                <w:rFonts w:hint="eastAsia" w:ascii="宋体" w:hAnsi="宋体" w:cs="宋体"/>
                <w:b/>
                <w:bCs/>
                <w:lang w:val="en-US" w:eastAsia="zh-CN"/>
              </w:rPr>
              <w:t>p6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zh-TW"/>
              </w:rPr>
            </w:pPr>
            <w:r>
              <w:rPr>
                <w:rFonts w:hint="eastAsia" w:ascii="宋体" w:hAnsi="宋体" w:cs="宋体" w:eastAsiaTheme="minorEastAsia"/>
                <w:b/>
                <w:bCs/>
                <w:lang w:val="zh-TW"/>
              </w:rPr>
              <w:t>2</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lang w:val="zh-TW"/>
              </w:rPr>
              <w:t>抗渗</w:t>
            </w:r>
          </w:p>
        </w:tc>
        <w:tc>
          <w:tcPr>
            <w:tcW w:w="2477"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r>
              <w:rPr>
                <w:rFonts w:hint="eastAsia" w:ascii="宋体" w:hAnsi="宋体" w:cs="宋体"/>
                <w:b/>
                <w:bCs/>
                <w:lang w:val="en-US" w:eastAsia="zh-CN"/>
              </w:rPr>
              <w:t>3%</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hint="eastAsia" w:ascii="宋体" w:hAnsi="宋体" w:cs="宋体"/>
                <w:b/>
                <w:bCs/>
                <w:lang w:val="en-US" w:eastAsia="zh-CN"/>
              </w:rPr>
            </w:pPr>
            <w:r>
              <w:rPr>
                <w:rFonts w:hint="eastAsia" w:ascii="宋体" w:hAnsi="宋体" w:cs="宋体"/>
                <w:b/>
                <w:bCs/>
                <w:lang w:val="en-US" w:eastAsia="zh-CN"/>
              </w:rPr>
              <w:t>p8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zh-TW"/>
              </w:rPr>
            </w:pPr>
            <w:r>
              <w:rPr>
                <w:rFonts w:hint="eastAsia" w:ascii="宋体" w:hAnsi="宋体" w:cs="宋体" w:eastAsiaTheme="minorEastAsia"/>
                <w:b/>
                <w:bCs/>
                <w:lang w:val="zh-TW"/>
              </w:rPr>
              <w:t>3</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lang w:val="zh-TW"/>
              </w:rPr>
              <w:t>钢纤维</w:t>
            </w:r>
          </w:p>
        </w:tc>
        <w:tc>
          <w:tcPr>
            <w:tcW w:w="2477"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r>
              <w:rPr>
                <w:rFonts w:hint="eastAsia" w:ascii="宋体" w:hAnsi="宋体" w:cs="宋体"/>
                <w:b/>
                <w:bCs/>
                <w:lang w:val="en-US" w:eastAsia="zh-CN"/>
              </w:rPr>
              <w:t>3%</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zh-TW"/>
              </w:rPr>
            </w:pPr>
            <w:r>
              <w:rPr>
                <w:rFonts w:hint="eastAsia" w:ascii="宋体" w:hAnsi="宋体" w:cs="宋体" w:eastAsiaTheme="minorEastAsia"/>
                <w:b/>
                <w:bCs/>
                <w:lang w:val="zh-TW"/>
              </w:rPr>
              <w:t>4</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lang w:val="zh-TW"/>
              </w:rPr>
              <w:t>防冻剂</w:t>
            </w:r>
          </w:p>
        </w:tc>
        <w:tc>
          <w:tcPr>
            <w:tcW w:w="2477"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r>
              <w:rPr>
                <w:rFonts w:hint="eastAsia" w:ascii="宋体" w:hAnsi="宋体" w:cs="宋体"/>
                <w:b/>
                <w:bCs/>
                <w:lang w:val="en-US" w:eastAsia="zh-CN"/>
              </w:rPr>
              <w:t>3%</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zh-TW"/>
              </w:rPr>
            </w:pPr>
            <w:r>
              <w:rPr>
                <w:rFonts w:hint="eastAsia" w:ascii="宋体" w:hAnsi="宋体" w:cs="宋体" w:eastAsiaTheme="minorEastAsia"/>
                <w:b/>
                <w:bCs/>
                <w:lang w:val="zh-TW"/>
              </w:rPr>
              <w:t>5</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lang w:val="zh-TW"/>
              </w:rPr>
              <w:t>膨胀剂</w:t>
            </w:r>
          </w:p>
        </w:tc>
        <w:tc>
          <w:tcPr>
            <w:tcW w:w="2477"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r>
              <w:rPr>
                <w:rFonts w:hint="eastAsia" w:ascii="宋体" w:hAnsi="宋体" w:cs="宋体"/>
                <w:b/>
                <w:bCs/>
                <w:lang w:val="en-US" w:eastAsia="zh-CN"/>
              </w:rPr>
              <w:t>3%</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817" w:type="dxa"/>
            <w:gridSpan w:val="2"/>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eastAsiaTheme="minorEastAsia"/>
                <w:b/>
                <w:bCs/>
                <w:lang w:val="zh-TW"/>
              </w:rPr>
            </w:pPr>
            <w:r>
              <w:rPr>
                <w:rFonts w:hint="eastAsia" w:ascii="宋体" w:hAnsi="宋体" w:cs="宋体" w:eastAsiaTheme="minorEastAsia"/>
                <w:b/>
                <w:bCs/>
                <w:lang w:val="zh-TW"/>
              </w:rPr>
              <w:t>6</w:t>
            </w:r>
          </w:p>
        </w:tc>
        <w:tc>
          <w:tcPr>
            <w:tcW w:w="2042"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lang w:val="zh-TW"/>
              </w:rPr>
              <w:t>泵送</w:t>
            </w:r>
          </w:p>
        </w:tc>
        <w:tc>
          <w:tcPr>
            <w:tcW w:w="2477"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r>
              <w:rPr>
                <w:rFonts w:hint="eastAsia" w:ascii="宋体" w:hAnsi="宋体" w:cs="宋体"/>
                <w:b/>
                <w:bCs/>
                <w:lang w:val="en-US" w:eastAsia="zh-CN"/>
              </w:rPr>
              <w:t>3%</w:t>
            </w:r>
          </w:p>
        </w:tc>
        <w:tc>
          <w:tcPr>
            <w:tcW w:w="4084" w:type="dxa"/>
            <w:tcBorders>
              <w:top w:val="single" w:color="000000" w:sz="2" w:space="0"/>
              <w:left w:val="single" w:color="000000" w:sz="4" w:space="0"/>
              <w:bottom w:val="single" w:color="000000" w:sz="2" w:space="0"/>
              <w:right w:val="single" w:color="000000" w:sz="4" w:space="0"/>
            </w:tcBorders>
            <w:shd w:val="clear" w:color="auto" w:fill="auto"/>
            <w:vAlign w:val="center"/>
          </w:tcPr>
          <w:p>
            <w:pPr>
              <w:spacing w:line="400" w:lineRule="exact"/>
              <w:jc w:val="center"/>
              <w:rPr>
                <w:rFonts w:ascii="宋体" w:hAnsi="宋体" w:cs="宋体"/>
                <w:b/>
                <w:bC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20" w:hRule="atLeast"/>
        </w:trPr>
        <w:tc>
          <w:tcPr>
            <w:tcW w:w="9420" w:type="dxa"/>
            <w:gridSpan w:val="5"/>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spacing w:line="400" w:lineRule="exact"/>
              <w:jc w:val="center"/>
              <w:rPr>
                <w:rFonts w:hint="eastAsia" w:ascii="宋体" w:hAnsi="宋体" w:cs="宋体"/>
                <w:b/>
                <w:bCs/>
              </w:rPr>
            </w:pPr>
            <w:r>
              <w:rPr>
                <w:rFonts w:hint="eastAsia" w:ascii="宋体" w:hAnsi="宋体" w:cs="宋体"/>
                <w:b/>
                <w:bCs/>
              </w:rPr>
              <w:t>备注：单次泵送费不满8</w:t>
            </w:r>
            <w:r>
              <w:rPr>
                <w:rFonts w:ascii="宋体" w:hAnsi="宋体" w:cs="宋体"/>
                <w:b/>
                <w:bCs/>
              </w:rPr>
              <w:t>0</w:t>
            </w:r>
            <w:r>
              <w:rPr>
                <w:rFonts w:hint="eastAsia" w:ascii="宋体" w:hAnsi="宋体" w:cs="宋体"/>
                <w:b/>
                <w:bCs/>
              </w:rPr>
              <w:t>m</w:t>
            </w:r>
            <w:r>
              <w:rPr>
                <w:rFonts w:ascii="宋体" w:hAnsi="宋体" w:cs="宋体"/>
                <w:b/>
                <w:bCs/>
                <w:vertAlign w:val="superscript"/>
              </w:rPr>
              <w:t>3</w:t>
            </w:r>
            <w:r>
              <w:rPr>
                <w:rFonts w:hint="eastAsia" w:ascii="宋体" w:hAnsi="宋体" w:cs="宋体"/>
                <w:b/>
                <w:bCs/>
              </w:rPr>
              <w:t>的按8</w:t>
            </w:r>
            <w:r>
              <w:rPr>
                <w:rFonts w:ascii="宋体" w:hAnsi="宋体" w:cs="宋体"/>
                <w:b/>
                <w:bCs/>
              </w:rPr>
              <w:t>0</w:t>
            </w:r>
            <w:r>
              <w:rPr>
                <w:rFonts w:hint="eastAsia" w:ascii="宋体" w:hAnsi="宋体" w:cs="宋体"/>
                <w:b/>
                <w:bCs/>
              </w:rPr>
              <w:t>m</w:t>
            </w:r>
            <w:r>
              <w:rPr>
                <w:rFonts w:ascii="宋体" w:hAnsi="宋体" w:cs="宋体"/>
                <w:b/>
                <w:bCs/>
                <w:vertAlign w:val="superscript"/>
              </w:rPr>
              <w:t>3</w:t>
            </w:r>
            <w:r>
              <w:rPr>
                <w:rFonts w:hint="eastAsia" w:ascii="宋体" w:hAnsi="宋体" w:cs="宋体"/>
                <w:b/>
                <w:bCs/>
              </w:rPr>
              <w:t>计费，泵车工地内转场费用不计。</w:t>
            </w:r>
          </w:p>
        </w:tc>
      </w:tr>
    </w:tbl>
    <w:p>
      <w:pPr>
        <w:spacing w:line="360" w:lineRule="auto"/>
        <w:ind w:firstLine="422" w:firstLineChars="200"/>
        <w:rPr>
          <w:rFonts w:hint="eastAsia" w:ascii="宋体" w:hAnsi="宋体"/>
          <w:bCs/>
          <w:color w:val="auto"/>
          <w:szCs w:val="21"/>
          <w:highlight w:val="none"/>
        </w:rPr>
      </w:pPr>
      <w:r>
        <w:rPr>
          <w:rFonts w:hint="eastAsia" w:ascii="宋体" w:hAnsi="宋体"/>
          <w:b/>
          <w:szCs w:val="21"/>
          <w:lang w:val="en-US" w:eastAsia="zh-CN"/>
        </w:rPr>
        <w:t>注：</w:t>
      </w:r>
      <w:r>
        <w:rPr>
          <w:rFonts w:hint="eastAsia" w:ascii="宋体" w:hAnsi="宋体"/>
          <w:bCs/>
          <w:color w:val="auto"/>
          <w:szCs w:val="21"/>
          <w:highlight w:val="none"/>
          <w:lang w:val="en-US" w:eastAsia="zh-CN"/>
        </w:rPr>
        <w:t>1</w:t>
      </w:r>
      <w:r>
        <w:rPr>
          <w:rFonts w:hint="eastAsia" w:ascii="宋体" w:hAnsi="宋体"/>
          <w:bCs/>
          <w:color w:val="auto"/>
          <w:szCs w:val="21"/>
          <w:highlight w:val="none"/>
        </w:rPr>
        <w:t>、实际用量即</w:t>
      </w:r>
      <w:r>
        <w:rPr>
          <w:rFonts w:hint="eastAsia" w:ascii="宋体" w:hAnsi="宋体"/>
          <w:bCs/>
          <w:color w:val="auto"/>
          <w:szCs w:val="21"/>
          <w:highlight w:val="none"/>
          <w:lang w:eastAsia="zh-CN"/>
        </w:rPr>
        <w:t>中标人</w:t>
      </w:r>
      <w:r>
        <w:rPr>
          <w:rFonts w:hint="eastAsia" w:ascii="宋体" w:hAnsi="宋体"/>
          <w:bCs/>
          <w:color w:val="auto"/>
          <w:szCs w:val="21"/>
          <w:highlight w:val="none"/>
        </w:rPr>
        <w:t>给</w:t>
      </w:r>
      <w:r>
        <w:rPr>
          <w:rFonts w:hint="eastAsia" w:ascii="宋体" w:hAnsi="宋体"/>
          <w:bCs/>
          <w:color w:val="auto"/>
          <w:szCs w:val="21"/>
          <w:highlight w:val="none"/>
          <w:lang w:eastAsia="zh-CN"/>
        </w:rPr>
        <w:t>招标人</w:t>
      </w:r>
      <w:r>
        <w:rPr>
          <w:rFonts w:hint="eastAsia" w:ascii="宋体" w:hAnsi="宋体"/>
          <w:bCs/>
          <w:color w:val="auto"/>
          <w:szCs w:val="21"/>
          <w:highlight w:val="none"/>
        </w:rPr>
        <w:t>工程的实际供货总量，含签订合同前临时供货量。</w:t>
      </w:r>
    </w:p>
    <w:p>
      <w:pPr>
        <w:pStyle w:val="47"/>
        <w:ind w:firstLine="840" w:firstLineChars="400"/>
        <w:rPr>
          <w:rFonts w:hint="eastAsia"/>
          <w:lang w:val="en-US" w:eastAsia="zh-CN"/>
        </w:rPr>
      </w:pPr>
      <w:r>
        <w:rPr>
          <w:rFonts w:hint="eastAsia"/>
          <w:bCs/>
          <w:color w:val="auto"/>
          <w:szCs w:val="21"/>
          <w:highlight w:val="none"/>
          <w:lang w:val="en-US" w:eastAsia="zh-CN"/>
        </w:rPr>
        <w:t>2</w:t>
      </w:r>
      <w:r>
        <w:rPr>
          <w:rFonts w:hint="eastAsia" w:ascii="宋体" w:hAnsi="宋体"/>
          <w:bCs/>
          <w:color w:val="auto"/>
          <w:szCs w:val="21"/>
          <w:highlight w:val="none"/>
        </w:rPr>
        <w:t>、本工程如有其它特殊要求的混凝土，价格另议。</w:t>
      </w:r>
    </w:p>
    <w:p>
      <w:pPr>
        <w:spacing w:line="360" w:lineRule="auto"/>
        <w:ind w:firstLine="422" w:firstLineChars="200"/>
        <w:rPr>
          <w:rFonts w:hint="eastAsia" w:ascii="宋体" w:hAnsi="宋体"/>
          <w:b/>
          <w:szCs w:val="21"/>
        </w:rPr>
      </w:pPr>
    </w:p>
    <w:p>
      <w:pPr>
        <w:spacing w:line="360" w:lineRule="auto"/>
        <w:ind w:firstLine="422" w:firstLineChars="200"/>
        <w:rPr>
          <w:rFonts w:ascii="宋体" w:hAnsi="宋体"/>
          <w:b/>
          <w:szCs w:val="21"/>
        </w:rPr>
      </w:pPr>
      <w:r>
        <w:rPr>
          <w:rFonts w:hint="eastAsia" w:ascii="宋体" w:hAnsi="宋体"/>
          <w:b/>
          <w:szCs w:val="21"/>
        </w:rPr>
        <w:t>四、商品混凝土质量：</w:t>
      </w:r>
    </w:p>
    <w:p>
      <w:pPr>
        <w:spacing w:line="360" w:lineRule="auto"/>
        <w:ind w:firstLine="420" w:firstLineChars="200"/>
        <w:rPr>
          <w:rFonts w:ascii="宋体" w:hAnsi="宋体"/>
          <w:bCs/>
          <w:szCs w:val="21"/>
        </w:rPr>
      </w:pPr>
      <w:r>
        <w:rPr>
          <w:rFonts w:hint="eastAsia" w:ascii="宋体" w:hAnsi="宋体"/>
          <w:bCs/>
          <w:szCs w:val="21"/>
        </w:rPr>
        <w:t>商品混凝土生产、施工过程及质量标准与验收规则：商品混凝土供应质量应符合现行GB/T14902-2012标准、 《混凝土结构工程施工质量验收规范》（GB50204-2011）规定，并达到相应砼标号的设计强度标准及砼结构验收达到合格。在交货地点随机抽样制作试件。试件在标准条件养护到第28天，其抗压强度按《混凝土强度检验评定标准》（GB/T50107-2010）进行评定，作为交货检验的依据。</w:t>
      </w:r>
    </w:p>
    <w:p>
      <w:pPr>
        <w:spacing w:line="360" w:lineRule="auto"/>
        <w:ind w:firstLine="422" w:firstLineChars="200"/>
        <w:rPr>
          <w:rFonts w:ascii="宋体" w:hAnsi="宋体"/>
          <w:b/>
          <w:szCs w:val="21"/>
        </w:rPr>
      </w:pPr>
      <w:r>
        <w:rPr>
          <w:rFonts w:hint="eastAsia" w:ascii="宋体" w:hAnsi="宋体"/>
          <w:b/>
          <w:szCs w:val="21"/>
        </w:rPr>
        <w:t>五、价款结算及付款方式</w:t>
      </w:r>
    </w:p>
    <w:p>
      <w:pPr>
        <w:pStyle w:val="102"/>
        <w:framePr w:wrap="auto" w:vAnchor="margin" w:hAnchor="text" w:yAlign="inline"/>
        <w:widowControl w:val="0"/>
        <w:spacing w:line="400" w:lineRule="exact"/>
        <w:ind w:firstLine="440" w:firstLineChars="200"/>
        <w:jc w:val="both"/>
        <w:rPr>
          <w:rFonts w:hint="default" w:cs="Times New Roman"/>
          <w:bCs/>
          <w:color w:val="FF0000"/>
          <w:szCs w:val="21"/>
        </w:rPr>
      </w:pPr>
      <w:r>
        <w:rPr>
          <w:rFonts w:cs="Times New Roman"/>
          <w:bCs/>
          <w:color w:val="auto"/>
          <w:szCs w:val="21"/>
        </w:rPr>
        <w:t>按照合同约定的综合单价及</w:t>
      </w:r>
      <w:r>
        <w:rPr>
          <w:rFonts w:hint="eastAsia" w:eastAsia="宋体" w:cs="Times New Roman"/>
          <w:bCs/>
          <w:color w:val="auto"/>
          <w:szCs w:val="21"/>
          <w:lang w:eastAsia="zh-CN"/>
        </w:rPr>
        <w:t>招标人</w:t>
      </w:r>
      <w:r>
        <w:rPr>
          <w:rFonts w:cs="Times New Roman"/>
          <w:bCs/>
          <w:color w:val="auto"/>
          <w:szCs w:val="21"/>
        </w:rPr>
        <w:t>现场签收的商品混凝土发货单为双方进行商品混凝土结算的依据；按月供应量进行结算。</w:t>
      </w:r>
    </w:p>
    <w:p>
      <w:pPr>
        <w:pStyle w:val="102"/>
        <w:framePr w:wrap="auto" w:vAnchor="margin" w:hAnchor="text" w:yAlign="inline"/>
        <w:widowControl w:val="0"/>
        <w:spacing w:line="400" w:lineRule="exact"/>
        <w:ind w:firstLine="420" w:firstLineChars="200"/>
        <w:jc w:val="both"/>
        <w:rPr>
          <w:rFonts w:hint="default" w:ascii="宋体" w:hAnsi="宋体" w:eastAsia="宋体" w:cs="宋体"/>
          <w:kern w:val="2"/>
          <w:sz w:val="21"/>
          <w:szCs w:val="21"/>
        </w:rPr>
      </w:pPr>
      <w:r>
        <w:rPr>
          <w:rFonts w:ascii="宋体" w:hAnsi="宋体" w:eastAsia="宋体" w:cs="宋体"/>
          <w:kern w:val="2"/>
          <w:sz w:val="21"/>
          <w:szCs w:val="21"/>
        </w:rPr>
        <w:t>材料运输至</w:t>
      </w:r>
      <w:r>
        <w:rPr>
          <w:rFonts w:hint="eastAsia" w:ascii="宋体" w:hAnsi="宋体" w:eastAsia="宋体" w:cs="宋体"/>
          <w:kern w:val="2"/>
          <w:sz w:val="21"/>
          <w:szCs w:val="21"/>
          <w:lang w:eastAsia="zh-CN"/>
        </w:rPr>
        <w:t>招标人</w:t>
      </w:r>
      <w:r>
        <w:rPr>
          <w:rFonts w:ascii="宋体" w:hAnsi="宋体" w:eastAsia="宋体" w:cs="宋体"/>
          <w:kern w:val="2"/>
          <w:sz w:val="21"/>
          <w:szCs w:val="21"/>
        </w:rPr>
        <w:t>指定地点后，</w:t>
      </w:r>
      <w:r>
        <w:rPr>
          <w:rFonts w:hint="eastAsia" w:ascii="宋体" w:hAnsi="宋体" w:eastAsia="宋体" w:cs="宋体"/>
          <w:kern w:val="2"/>
          <w:sz w:val="21"/>
          <w:szCs w:val="21"/>
          <w:lang w:eastAsia="zh-CN"/>
        </w:rPr>
        <w:t>招标人</w:t>
      </w:r>
      <w:r>
        <w:rPr>
          <w:rFonts w:ascii="宋体" w:hAnsi="宋体" w:eastAsia="宋体" w:cs="宋体"/>
          <w:kern w:val="2"/>
          <w:sz w:val="21"/>
          <w:szCs w:val="21"/>
        </w:rPr>
        <w:t>签写材料签收单给</w:t>
      </w:r>
      <w:r>
        <w:rPr>
          <w:rFonts w:hint="eastAsia" w:ascii="宋体" w:hAnsi="宋体" w:eastAsia="宋体" w:cs="宋体"/>
          <w:kern w:val="2"/>
          <w:sz w:val="21"/>
          <w:szCs w:val="21"/>
          <w:lang w:eastAsia="zh-CN"/>
        </w:rPr>
        <w:t>中标人</w:t>
      </w:r>
      <w:r>
        <w:rPr>
          <w:rFonts w:ascii="宋体" w:hAnsi="宋体" w:eastAsia="宋体" w:cs="宋体"/>
          <w:kern w:val="2"/>
          <w:sz w:val="21"/>
          <w:szCs w:val="21"/>
        </w:rPr>
        <w:t>，</w:t>
      </w:r>
      <w:r>
        <w:rPr>
          <w:rFonts w:hint="eastAsia" w:ascii="宋体" w:hAnsi="宋体" w:eastAsia="宋体" w:cs="宋体"/>
          <w:kern w:val="2"/>
          <w:sz w:val="21"/>
          <w:szCs w:val="21"/>
          <w:lang w:eastAsia="zh-CN"/>
        </w:rPr>
        <w:t>中标人</w:t>
      </w:r>
      <w:r>
        <w:rPr>
          <w:rFonts w:ascii="宋体" w:hAnsi="宋体" w:eastAsia="宋体" w:cs="宋体"/>
          <w:kern w:val="2"/>
          <w:sz w:val="21"/>
          <w:szCs w:val="21"/>
        </w:rPr>
        <w:t>以签收的材料签收单数量向</w:t>
      </w:r>
      <w:r>
        <w:rPr>
          <w:rFonts w:hint="eastAsia" w:ascii="宋体" w:hAnsi="宋体" w:eastAsia="宋体" w:cs="宋体"/>
          <w:kern w:val="2"/>
          <w:sz w:val="21"/>
          <w:szCs w:val="21"/>
          <w:lang w:eastAsia="zh-CN"/>
        </w:rPr>
        <w:t>招标人</w:t>
      </w:r>
      <w:r>
        <w:rPr>
          <w:rFonts w:ascii="宋体" w:hAnsi="宋体" w:eastAsia="宋体" w:cs="宋体"/>
          <w:kern w:val="2"/>
          <w:sz w:val="21"/>
          <w:szCs w:val="21"/>
        </w:rPr>
        <w:t>结算货款。</w:t>
      </w:r>
    </w:p>
    <w:p>
      <w:pPr>
        <w:pStyle w:val="102"/>
        <w:framePr w:wrap="auto" w:vAnchor="margin" w:hAnchor="text" w:yAlign="inline"/>
        <w:widowControl w:val="0"/>
        <w:spacing w:line="400" w:lineRule="exact"/>
        <w:ind w:firstLine="440" w:firstLineChars="200"/>
        <w:jc w:val="both"/>
        <w:rPr>
          <w:rFonts w:hint="default" w:ascii="宋体" w:hAnsi="宋体" w:eastAsia="宋体" w:cs="宋体"/>
          <w:kern w:val="2"/>
          <w:sz w:val="21"/>
          <w:szCs w:val="21"/>
          <w:lang w:eastAsia="zh-CN"/>
        </w:rPr>
      </w:pPr>
      <w:r>
        <w:rPr>
          <w:rFonts w:ascii="宋体" w:hAnsi="宋体"/>
        </w:rPr>
        <w:t>双方同意 A （A、支付；B、不支付）预付款。</w:t>
      </w:r>
      <w:r>
        <w:rPr>
          <w:rFonts w:ascii="宋体" w:hAnsi="宋体" w:eastAsia="宋体" w:cs="宋体"/>
          <w:kern w:val="2"/>
          <w:sz w:val="21"/>
          <w:szCs w:val="21"/>
          <w:lang w:val="en-US" w:eastAsia="zh-CN"/>
        </w:rPr>
        <w:t>金额为：</w:t>
      </w:r>
      <w:r>
        <w:rPr>
          <w:rFonts w:ascii="宋体" w:hAnsi="宋体" w:eastAsia="宋体" w:cs="宋体"/>
          <w:kern w:val="2"/>
          <w:sz w:val="21"/>
          <w:szCs w:val="21"/>
          <w:u w:val="single"/>
          <w:lang w:val="en-US" w:eastAsia="zh-CN"/>
        </w:rPr>
        <w:t>300万元整</w:t>
      </w:r>
      <w:r>
        <w:rPr>
          <w:rFonts w:ascii="宋体" w:hAnsi="宋体" w:eastAsia="宋体" w:cs="宋体"/>
          <w:kern w:val="2"/>
          <w:sz w:val="21"/>
          <w:szCs w:val="21"/>
          <w:lang w:eastAsia="zh-CN"/>
        </w:rPr>
        <w:t>作为预付</w:t>
      </w:r>
      <w:r>
        <w:rPr>
          <w:rFonts w:ascii="宋体" w:hAnsi="宋体" w:eastAsia="宋体" w:cs="宋体"/>
          <w:kern w:val="2"/>
          <w:sz w:val="21"/>
          <w:szCs w:val="21"/>
          <w:lang w:val="en-US" w:eastAsia="zh-CN"/>
        </w:rPr>
        <w:t>采购资金</w:t>
      </w:r>
      <w:r>
        <w:rPr>
          <w:rFonts w:ascii="宋体" w:hAnsi="宋体" w:eastAsia="宋体" w:cs="宋体"/>
          <w:kern w:val="2"/>
          <w:sz w:val="21"/>
          <w:szCs w:val="21"/>
          <w:lang w:eastAsia="zh-CN"/>
        </w:rPr>
        <w:t>,</w:t>
      </w:r>
      <w:r>
        <w:rPr>
          <w:rFonts w:ascii="宋体" w:hAnsi="宋体" w:eastAsia="宋体" w:cs="宋体"/>
          <w:kern w:val="2"/>
          <w:sz w:val="21"/>
          <w:szCs w:val="21"/>
          <w:lang w:val="en-US" w:eastAsia="zh-CN"/>
        </w:rPr>
        <w:t>该笔预付款</w:t>
      </w:r>
      <w:r>
        <w:rPr>
          <w:rFonts w:ascii="宋体" w:hAnsi="宋体" w:eastAsia="宋体" w:cs="宋体"/>
          <w:kern w:val="2"/>
          <w:sz w:val="21"/>
          <w:szCs w:val="21"/>
          <w:lang w:eastAsia="zh-CN"/>
        </w:rPr>
        <w:t>可采用电汇、银行承兑汇票、建行E信通、民生银行民信易链等银行供应等方式进行支付，除电汇及外汇外，其余支付方式</w:t>
      </w:r>
      <w:r>
        <w:rPr>
          <w:rFonts w:hint="eastAsia" w:ascii="宋体" w:hAnsi="宋体" w:eastAsia="宋体" w:cs="宋体"/>
          <w:kern w:val="2"/>
          <w:sz w:val="21"/>
          <w:szCs w:val="21"/>
          <w:lang w:eastAsia="zh-CN"/>
        </w:rPr>
        <w:t>中标人</w:t>
      </w:r>
      <w:r>
        <w:rPr>
          <w:rFonts w:ascii="宋体" w:hAnsi="宋体" w:eastAsia="宋体" w:cs="宋体"/>
          <w:kern w:val="2"/>
          <w:sz w:val="21"/>
          <w:szCs w:val="21"/>
          <w:lang w:eastAsia="zh-CN"/>
        </w:rPr>
        <w:t>均需在收款前开具合规增值税专用发票及收据（税率</w:t>
      </w:r>
      <w:r>
        <w:rPr>
          <w:rFonts w:ascii="宋体" w:hAnsi="宋体" w:eastAsia="宋体" w:cs="宋体"/>
          <w:kern w:val="2"/>
          <w:sz w:val="21"/>
          <w:szCs w:val="21"/>
          <w:lang w:val="en-US" w:eastAsia="zh-CN"/>
        </w:rPr>
        <w:t>3</w:t>
      </w:r>
      <w:r>
        <w:rPr>
          <w:rFonts w:ascii="宋体" w:hAnsi="宋体" w:eastAsia="宋体" w:cs="宋体"/>
          <w:kern w:val="2"/>
          <w:sz w:val="21"/>
          <w:szCs w:val="21"/>
          <w:lang w:eastAsia="zh-CN"/>
        </w:rPr>
        <w:t>%）。</w:t>
      </w:r>
    </w:p>
    <w:p>
      <w:pPr>
        <w:pStyle w:val="102"/>
        <w:framePr w:wrap="auto" w:vAnchor="margin" w:hAnchor="text" w:yAlign="inline"/>
        <w:widowControl w:val="0"/>
        <w:spacing w:line="400" w:lineRule="exact"/>
        <w:ind w:firstLine="420" w:firstLineChars="200"/>
        <w:jc w:val="both"/>
        <w:rPr>
          <w:rFonts w:hint="default" w:ascii="宋体" w:hAnsi="宋体" w:eastAsia="宋体" w:cs="宋体"/>
          <w:kern w:val="2"/>
          <w:sz w:val="21"/>
          <w:szCs w:val="21"/>
          <w:lang w:eastAsia="zh-CN"/>
        </w:rPr>
      </w:pPr>
      <w:r>
        <w:rPr>
          <w:rFonts w:ascii="宋体" w:hAnsi="宋体" w:eastAsia="宋体" w:cs="宋体"/>
          <w:kern w:val="2"/>
          <w:sz w:val="21"/>
          <w:szCs w:val="21"/>
          <w:lang w:eastAsia="zh-CN"/>
        </w:rPr>
        <w:t>预付款的扣回方式为：按照支付进度款次数结合项目实际情况，分肆次进行等比例扣回（每次25%）。若工程初期为冬季等非正常施工期，考虑总承包单位资金成本等因素可要求分包单位将预付款部分</w:t>
      </w:r>
      <w:r>
        <w:rPr>
          <w:rFonts w:ascii="宋体" w:hAnsi="宋体" w:eastAsia="宋体" w:cs="宋体"/>
          <w:kern w:val="2"/>
          <w:sz w:val="21"/>
          <w:szCs w:val="21"/>
          <w:lang w:val="en-US" w:eastAsia="zh-CN"/>
        </w:rPr>
        <w:t>或全部</w:t>
      </w:r>
      <w:r>
        <w:rPr>
          <w:rFonts w:ascii="宋体" w:hAnsi="宋体" w:eastAsia="宋体" w:cs="宋体"/>
          <w:kern w:val="2"/>
          <w:sz w:val="21"/>
          <w:szCs w:val="21"/>
          <w:lang w:eastAsia="zh-CN"/>
        </w:rPr>
        <w:t>退回，待回归正常施工期再进行正常预付。</w:t>
      </w:r>
    </w:p>
    <w:p>
      <w:pPr>
        <w:pStyle w:val="102"/>
        <w:framePr w:wrap="auto" w:vAnchor="margin" w:hAnchor="text" w:yAlign="inline"/>
        <w:widowControl w:val="0"/>
        <w:spacing w:line="400" w:lineRule="exact"/>
        <w:ind w:firstLine="420" w:firstLineChars="200"/>
        <w:jc w:val="both"/>
        <w:rPr>
          <w:rFonts w:hint="default" w:ascii="宋体" w:hAnsi="宋体" w:eastAsia="宋体" w:cs="宋体"/>
          <w:kern w:val="2"/>
          <w:sz w:val="21"/>
          <w:szCs w:val="21"/>
          <w:lang w:eastAsia="zh-CN"/>
        </w:rPr>
      </w:pPr>
      <w:r>
        <w:rPr>
          <w:rFonts w:hint="eastAsia" w:ascii="宋体" w:hAnsi="宋体" w:eastAsia="宋体" w:cs="宋体"/>
          <w:kern w:val="2"/>
          <w:sz w:val="21"/>
          <w:szCs w:val="21"/>
          <w:lang w:eastAsia="zh-CN"/>
        </w:rPr>
        <w:t>中标人</w:t>
      </w:r>
      <w:r>
        <w:rPr>
          <w:rFonts w:ascii="宋体" w:hAnsi="宋体" w:eastAsia="宋体" w:cs="宋体"/>
          <w:kern w:val="2"/>
          <w:sz w:val="21"/>
          <w:szCs w:val="21"/>
          <w:lang w:eastAsia="zh-CN"/>
        </w:rPr>
        <w:t>开具收据并持续送货,每次供货需双方签字确认计量,每月30日结算当月计量,</w:t>
      </w:r>
      <w:r>
        <w:rPr>
          <w:rFonts w:hint="eastAsia" w:ascii="宋体" w:hAnsi="宋体" w:eastAsia="宋体" w:cs="宋体"/>
          <w:kern w:val="2"/>
          <w:sz w:val="21"/>
          <w:szCs w:val="21"/>
          <w:lang w:eastAsia="zh-CN"/>
        </w:rPr>
        <w:t>中标人</w:t>
      </w:r>
      <w:r>
        <w:rPr>
          <w:rFonts w:ascii="宋体" w:hAnsi="宋体" w:eastAsia="宋体" w:cs="宋体"/>
          <w:kern w:val="2"/>
          <w:sz w:val="21"/>
          <w:szCs w:val="21"/>
          <w:lang w:eastAsia="zh-CN"/>
        </w:rPr>
        <w:t>开具增值税专用发票,</w:t>
      </w:r>
      <w:r>
        <w:rPr>
          <w:rFonts w:hint="eastAsia" w:ascii="宋体" w:hAnsi="宋体" w:eastAsia="宋体" w:cs="宋体"/>
          <w:kern w:val="2"/>
          <w:sz w:val="21"/>
          <w:szCs w:val="21"/>
          <w:lang w:eastAsia="zh-CN"/>
        </w:rPr>
        <w:t>招标人</w:t>
      </w:r>
      <w:r>
        <w:rPr>
          <w:rFonts w:ascii="宋体" w:hAnsi="宋体" w:eastAsia="宋体" w:cs="宋体"/>
          <w:kern w:val="2"/>
          <w:sz w:val="21"/>
          <w:szCs w:val="21"/>
          <w:lang w:eastAsia="zh-CN"/>
        </w:rPr>
        <w:t>根据开票金额打款,</w:t>
      </w:r>
      <w:r>
        <w:rPr>
          <w:rFonts w:hint="eastAsia" w:ascii="宋体" w:hAnsi="宋体" w:eastAsia="宋体" w:cs="宋体"/>
          <w:kern w:val="2"/>
          <w:sz w:val="21"/>
          <w:szCs w:val="21"/>
          <w:lang w:eastAsia="zh-CN"/>
        </w:rPr>
        <w:t>中标人</w:t>
      </w:r>
      <w:r>
        <w:rPr>
          <w:rFonts w:ascii="宋体" w:hAnsi="宋体" w:eastAsia="宋体" w:cs="宋体"/>
          <w:kern w:val="2"/>
          <w:sz w:val="21"/>
          <w:szCs w:val="21"/>
          <w:lang w:eastAsia="zh-CN"/>
        </w:rPr>
        <w:t>给予</w:t>
      </w:r>
      <w:r>
        <w:rPr>
          <w:rFonts w:hint="eastAsia" w:ascii="宋体" w:hAnsi="宋体" w:eastAsia="宋体" w:cs="宋体"/>
          <w:kern w:val="2"/>
          <w:sz w:val="21"/>
          <w:szCs w:val="21"/>
          <w:lang w:eastAsia="zh-CN"/>
        </w:rPr>
        <w:t>招标人</w:t>
      </w:r>
      <w:r>
        <w:rPr>
          <w:rFonts w:ascii="宋体" w:hAnsi="宋体" w:eastAsia="宋体" w:cs="宋体"/>
          <w:kern w:val="2"/>
          <w:sz w:val="21"/>
          <w:szCs w:val="21"/>
          <w:lang w:eastAsia="zh-CN"/>
        </w:rPr>
        <w:t>垫资发货，结算日为垫资期限满</w:t>
      </w:r>
      <w:r>
        <w:rPr>
          <w:rFonts w:ascii="宋体" w:hAnsi="宋体" w:eastAsia="宋体" w:cs="宋体"/>
          <w:kern w:val="2"/>
          <w:sz w:val="21"/>
          <w:szCs w:val="21"/>
          <w:lang w:val="en-US" w:eastAsia="zh-CN"/>
        </w:rPr>
        <w:t>30</w:t>
      </w:r>
      <w:r>
        <w:rPr>
          <w:rFonts w:ascii="宋体" w:hAnsi="宋体" w:eastAsia="宋体" w:cs="宋体"/>
          <w:kern w:val="2"/>
          <w:sz w:val="21"/>
          <w:szCs w:val="21"/>
          <w:lang w:eastAsia="zh-CN"/>
        </w:rPr>
        <w:t>天或者50万元。</w:t>
      </w:r>
    </w:p>
    <w:p>
      <w:pPr>
        <w:pStyle w:val="35"/>
        <w:shd w:val="clear" w:color="auto" w:fill="FFFFFF"/>
        <w:spacing w:before="0" w:beforeAutospacing="0" w:after="0" w:afterAutospacing="0" w:line="380" w:lineRule="exact"/>
        <w:ind w:firstLine="420" w:firstLineChars="200"/>
        <w:rPr>
          <w:rFonts w:cs="Times New Roman"/>
          <w:bCs/>
          <w:color w:val="FF0000"/>
          <w:kern w:val="2"/>
          <w:sz w:val="21"/>
          <w:szCs w:val="21"/>
        </w:rPr>
      </w:pPr>
      <w:r>
        <w:rPr>
          <w:rFonts w:hint="eastAsia"/>
          <w:kern w:val="2"/>
          <w:sz w:val="21"/>
          <w:szCs w:val="21"/>
          <w:lang w:eastAsia="zh-CN"/>
        </w:rPr>
        <w:t>招标人</w:t>
      </w:r>
      <w:r>
        <w:rPr>
          <w:kern w:val="2"/>
          <w:sz w:val="21"/>
          <w:szCs w:val="21"/>
        </w:rPr>
        <w:t>可采用电汇、外汇（包括但不仅限于美元）、银行承兑汇票或建行E信通、民生银行民信易链等银行供应链对</w:t>
      </w:r>
      <w:r>
        <w:rPr>
          <w:rFonts w:hint="eastAsia"/>
          <w:kern w:val="2"/>
          <w:sz w:val="21"/>
          <w:szCs w:val="21"/>
          <w:lang w:eastAsia="zh-CN"/>
        </w:rPr>
        <w:t>中标人</w:t>
      </w:r>
      <w:r>
        <w:rPr>
          <w:kern w:val="2"/>
          <w:sz w:val="21"/>
          <w:szCs w:val="21"/>
        </w:rPr>
        <w:t>进行支付，即</w:t>
      </w:r>
      <w:r>
        <w:rPr>
          <w:rFonts w:hint="eastAsia"/>
          <w:kern w:val="2"/>
          <w:sz w:val="21"/>
          <w:szCs w:val="21"/>
          <w:lang w:eastAsia="zh-CN"/>
        </w:rPr>
        <w:t>中标人</w:t>
      </w:r>
      <w:r>
        <w:rPr>
          <w:kern w:val="2"/>
          <w:sz w:val="21"/>
          <w:szCs w:val="21"/>
        </w:rPr>
        <w:t>提交相关付款材料经</w:t>
      </w:r>
      <w:r>
        <w:rPr>
          <w:rFonts w:hint="eastAsia"/>
          <w:kern w:val="2"/>
          <w:sz w:val="21"/>
          <w:szCs w:val="21"/>
          <w:lang w:eastAsia="zh-CN"/>
        </w:rPr>
        <w:t>招标人</w:t>
      </w:r>
      <w:r>
        <w:rPr>
          <w:kern w:val="2"/>
          <w:sz w:val="21"/>
          <w:szCs w:val="21"/>
        </w:rPr>
        <w:t>审核无误后，</w:t>
      </w:r>
      <w:r>
        <w:rPr>
          <w:rFonts w:hint="eastAsia"/>
          <w:kern w:val="2"/>
          <w:sz w:val="21"/>
          <w:szCs w:val="21"/>
        </w:rPr>
        <w:t>供应链签发期为12</w:t>
      </w:r>
      <w:r>
        <w:rPr>
          <w:rFonts w:hint="eastAsia"/>
          <w:kern w:val="2"/>
          <w:sz w:val="21"/>
          <w:szCs w:val="21"/>
          <w:lang w:val="en-US" w:eastAsia="zh-CN"/>
        </w:rPr>
        <w:t>-24</w:t>
      </w:r>
      <w:r>
        <w:rPr>
          <w:rFonts w:hint="eastAsia"/>
          <w:kern w:val="2"/>
          <w:sz w:val="21"/>
          <w:szCs w:val="21"/>
        </w:rPr>
        <w:t>个月，</w:t>
      </w:r>
      <w:r>
        <w:rPr>
          <w:rFonts w:hint="eastAsia"/>
          <w:kern w:val="2"/>
          <w:sz w:val="21"/>
          <w:szCs w:val="21"/>
          <w:lang w:eastAsia="zh-CN"/>
        </w:rPr>
        <w:t>中标人</w:t>
      </w:r>
      <w:r>
        <w:rPr>
          <w:rFonts w:hint="eastAsia"/>
          <w:kern w:val="2"/>
          <w:sz w:val="21"/>
          <w:szCs w:val="21"/>
          <w:lang w:val="en-US" w:eastAsia="zh-CN"/>
        </w:rPr>
        <w:t>至少</w:t>
      </w:r>
      <w:r>
        <w:rPr>
          <w:rFonts w:hint="eastAsia"/>
          <w:kern w:val="2"/>
          <w:sz w:val="21"/>
          <w:szCs w:val="21"/>
        </w:rPr>
        <w:t>承担</w:t>
      </w:r>
      <w:r>
        <w:rPr>
          <w:rFonts w:hint="eastAsia"/>
          <w:kern w:val="2"/>
          <w:sz w:val="21"/>
          <w:szCs w:val="21"/>
          <w:lang w:val="en-US" w:eastAsia="zh-CN"/>
        </w:rPr>
        <w:t>12个月</w:t>
      </w:r>
      <w:r>
        <w:rPr>
          <w:rFonts w:hint="eastAsia"/>
          <w:kern w:val="2"/>
          <w:sz w:val="21"/>
          <w:szCs w:val="21"/>
        </w:rPr>
        <w:t>提前变现贴现息。</w:t>
      </w: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pStyle w:val="35"/>
        <w:shd w:val="clear" w:color="auto" w:fill="FFFFFF"/>
        <w:spacing w:before="0" w:beforeAutospacing="0" w:after="0" w:afterAutospacing="0" w:line="380" w:lineRule="exact"/>
        <w:rPr>
          <w:rFonts w:hint="eastAsia" w:cs="Times New Roman"/>
          <w:bCs/>
          <w:color w:val="FF0000"/>
          <w:kern w:val="2"/>
          <w:sz w:val="21"/>
          <w:szCs w:val="21"/>
        </w:rPr>
      </w:pPr>
    </w:p>
    <w:p>
      <w:pPr>
        <w:adjustRightInd w:val="0"/>
        <w:snapToGrid w:val="0"/>
        <w:spacing w:line="440" w:lineRule="exact"/>
        <w:jc w:val="center"/>
        <w:outlineLvl w:val="0"/>
        <w:rPr>
          <w:rStyle w:val="48"/>
          <w:rFonts w:hint="eastAsia"/>
          <w:sz w:val="28"/>
          <w:szCs w:val="28"/>
        </w:rPr>
      </w:pPr>
      <w:bookmarkStart w:id="511" w:name="_Toc25677"/>
      <w:bookmarkStart w:id="512" w:name="_Toc16175987"/>
      <w:r>
        <w:rPr>
          <w:rStyle w:val="48"/>
          <w:rFonts w:hint="eastAsia"/>
          <w:sz w:val="28"/>
          <w:szCs w:val="28"/>
        </w:rPr>
        <w:t>第五章  合同条款</w:t>
      </w:r>
      <w:bookmarkEnd w:id="504"/>
      <w:bookmarkEnd w:id="505"/>
      <w:bookmarkEnd w:id="506"/>
      <w:bookmarkEnd w:id="507"/>
      <w:bookmarkEnd w:id="508"/>
      <w:bookmarkEnd w:id="511"/>
      <w:bookmarkEnd w:id="512"/>
    </w:p>
    <w:p/>
    <w:p>
      <w:pPr>
        <w:widowControl/>
        <w:spacing w:line="360" w:lineRule="auto"/>
        <w:ind w:firstLine="562" w:firstLineChars="200"/>
        <w:jc w:val="center"/>
        <w:outlineLvl w:val="1"/>
        <w:rPr>
          <w:rFonts w:hint="eastAsia"/>
          <w:b/>
          <w:sz w:val="28"/>
          <w:szCs w:val="28"/>
        </w:rPr>
      </w:pPr>
      <w:r>
        <w:rPr>
          <w:rFonts w:hint="eastAsia"/>
          <w:b/>
          <w:sz w:val="28"/>
          <w:szCs w:val="28"/>
        </w:rPr>
        <w:t xml:space="preserve">使用中国地质工程集团有限公司标准制式合同，合同内容中明确采购需求的技术、服务要求                                </w:t>
      </w: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Cs w:val="21"/>
        </w:rPr>
      </w:pPr>
    </w:p>
    <w:p>
      <w:pPr>
        <w:spacing w:line="360" w:lineRule="exact"/>
        <w:jc w:val="center"/>
        <w:outlineLvl w:val="1"/>
        <w:rPr>
          <w:rFonts w:ascii="宋体"/>
          <w:b/>
          <w:sz w:val="28"/>
          <w:szCs w:val="28"/>
        </w:rPr>
      </w:pPr>
      <w:bookmarkStart w:id="513" w:name="_Toc11579"/>
      <w:r>
        <w:rPr>
          <w:rFonts w:hint="eastAsia" w:ascii="宋体" w:hAnsi="宋体"/>
          <w:b/>
          <w:sz w:val="28"/>
          <w:szCs w:val="28"/>
        </w:rPr>
        <w:t>廉</w:t>
      </w:r>
      <w:r>
        <w:rPr>
          <w:rFonts w:ascii="宋体" w:hAnsi="宋体"/>
          <w:b/>
          <w:sz w:val="28"/>
          <w:szCs w:val="28"/>
        </w:rPr>
        <w:t xml:space="preserve"> </w:t>
      </w:r>
      <w:r>
        <w:rPr>
          <w:rFonts w:hint="eastAsia" w:ascii="宋体" w:hAnsi="宋体"/>
          <w:b/>
          <w:sz w:val="28"/>
          <w:szCs w:val="28"/>
        </w:rPr>
        <w:t>政</w:t>
      </w:r>
      <w:r>
        <w:rPr>
          <w:rFonts w:ascii="宋体" w:hAnsi="宋体"/>
          <w:b/>
          <w:sz w:val="28"/>
          <w:szCs w:val="28"/>
        </w:rPr>
        <w:t xml:space="preserve"> </w:t>
      </w:r>
      <w:r>
        <w:rPr>
          <w:rFonts w:hint="eastAsia" w:ascii="宋体" w:hAnsi="宋体"/>
          <w:b/>
          <w:sz w:val="28"/>
          <w:szCs w:val="28"/>
        </w:rPr>
        <w:t>协 议</w:t>
      </w:r>
      <w:bookmarkEnd w:id="513"/>
    </w:p>
    <w:p>
      <w:pPr>
        <w:spacing w:line="360" w:lineRule="exact"/>
        <w:jc w:val="center"/>
        <w:rPr>
          <w:rFonts w:ascii="宋体"/>
          <w:b/>
          <w:sz w:val="28"/>
          <w:szCs w:val="28"/>
        </w:rPr>
      </w:pPr>
    </w:p>
    <w:p>
      <w:pPr>
        <w:autoSpaceDE w:val="0"/>
        <w:autoSpaceDN w:val="0"/>
        <w:adjustRightInd w:val="0"/>
        <w:snapToGrid w:val="0"/>
        <w:spacing w:line="360" w:lineRule="auto"/>
        <w:ind w:firstLine="420" w:firstLineChars="200"/>
        <w:rPr>
          <w:rFonts w:hint="eastAsia" w:ascii="宋体"/>
          <w:szCs w:val="21"/>
        </w:rPr>
      </w:pPr>
      <w:r>
        <w:rPr>
          <w:rFonts w:hint="eastAsia" w:ascii="宋体" w:hAnsi="宋体"/>
          <w:szCs w:val="21"/>
          <w:lang w:eastAsia="zh-CN"/>
        </w:rPr>
        <w:t>招标人</w:t>
      </w:r>
      <w:r>
        <w:rPr>
          <w:rFonts w:hint="eastAsia" w:ascii="宋体" w:hAnsi="宋体"/>
          <w:szCs w:val="21"/>
        </w:rPr>
        <w:t xml:space="preserve">：                                </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lang w:eastAsia="zh-CN"/>
        </w:rPr>
        <w:t>中标人</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为加强物资采购、工程投资项目活动中的廉政建设，防止发生违法、违纪行为，体现公开、公平、公正的原则，根据国家有关法律、法规和廉政建设责任制的规定，甲、乙双方商定下列条款作为双方签订的《                               》（以下简称《合同》</w:t>
      </w:r>
      <w:r>
        <w:rPr>
          <w:rFonts w:ascii="宋体" w:hAnsi="宋体"/>
          <w:szCs w:val="21"/>
        </w:rPr>
        <w:t>)</w:t>
      </w:r>
      <w:r>
        <w:rPr>
          <w:rFonts w:hint="eastAsia" w:ascii="宋体" w:hAnsi="宋体"/>
          <w:szCs w:val="21"/>
        </w:rPr>
        <w:t>的补充条款：</w:t>
      </w:r>
    </w:p>
    <w:p>
      <w:pPr>
        <w:autoSpaceDE w:val="0"/>
        <w:autoSpaceDN w:val="0"/>
        <w:adjustRightInd w:val="0"/>
        <w:snapToGrid w:val="0"/>
        <w:spacing w:line="360" w:lineRule="auto"/>
        <w:ind w:firstLine="420" w:firstLineChars="200"/>
        <w:rPr>
          <w:rFonts w:ascii="宋体"/>
          <w:szCs w:val="21"/>
        </w:rPr>
      </w:pPr>
      <w:r>
        <w:rPr>
          <w:rFonts w:ascii="宋体" w:hAnsi="宋体"/>
          <w:szCs w:val="21"/>
        </w:rPr>
        <w:t>1</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不得向</w:t>
      </w:r>
      <w:r>
        <w:rPr>
          <w:rFonts w:hint="eastAsia" w:ascii="宋体" w:hAnsi="宋体"/>
          <w:szCs w:val="21"/>
          <w:lang w:eastAsia="zh-CN"/>
        </w:rPr>
        <w:t>招标人</w:t>
      </w:r>
      <w:r>
        <w:rPr>
          <w:rFonts w:hint="eastAsia" w:ascii="宋体" w:hAnsi="宋体"/>
          <w:szCs w:val="21"/>
        </w:rPr>
        <w:t>有关人员行贿，以不正当手段谋取合同签订资格。</w:t>
      </w:r>
    </w:p>
    <w:p>
      <w:pPr>
        <w:autoSpaceDE w:val="0"/>
        <w:autoSpaceDN w:val="0"/>
        <w:adjustRightInd w:val="0"/>
        <w:snapToGrid w:val="0"/>
        <w:spacing w:line="360" w:lineRule="auto"/>
        <w:ind w:firstLine="420" w:firstLineChars="200"/>
        <w:rPr>
          <w:rFonts w:ascii="宋体"/>
          <w:szCs w:val="21"/>
        </w:rPr>
      </w:pPr>
      <w:r>
        <w:rPr>
          <w:rFonts w:ascii="宋体" w:hAnsi="宋体"/>
          <w:szCs w:val="21"/>
        </w:rPr>
        <w:t>2</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不得向</w:t>
      </w:r>
      <w:r>
        <w:rPr>
          <w:rFonts w:hint="eastAsia" w:ascii="宋体" w:hAnsi="宋体"/>
          <w:szCs w:val="21"/>
          <w:lang w:eastAsia="zh-CN"/>
        </w:rPr>
        <w:t>招标人</w:t>
      </w:r>
      <w:r>
        <w:rPr>
          <w:rFonts w:hint="eastAsia" w:ascii="宋体" w:hAnsi="宋体"/>
          <w:szCs w:val="21"/>
        </w:rPr>
        <w:t>相关人员赠送礼金、礼品、有价证券或其他代币券、贵重物品、好处费、感谢费等以及组织其它有可能影响客观公正的活动。</w:t>
      </w:r>
    </w:p>
    <w:p>
      <w:pPr>
        <w:autoSpaceDE w:val="0"/>
        <w:autoSpaceDN w:val="0"/>
        <w:adjustRightInd w:val="0"/>
        <w:snapToGrid w:val="0"/>
        <w:spacing w:line="360" w:lineRule="auto"/>
        <w:ind w:firstLine="420" w:firstLineChars="200"/>
        <w:rPr>
          <w:rFonts w:ascii="宋体"/>
          <w:szCs w:val="21"/>
        </w:rPr>
      </w:pPr>
      <w:r>
        <w:rPr>
          <w:rFonts w:ascii="宋体" w:hAnsi="宋体"/>
          <w:szCs w:val="21"/>
        </w:rPr>
        <w:t>3</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不得邀请</w:t>
      </w:r>
      <w:r>
        <w:rPr>
          <w:rFonts w:hint="eastAsia" w:ascii="宋体" w:hAnsi="宋体"/>
          <w:szCs w:val="21"/>
          <w:lang w:eastAsia="zh-CN"/>
        </w:rPr>
        <w:t>招标人</w:t>
      </w:r>
      <w:r>
        <w:rPr>
          <w:rFonts w:hint="eastAsia" w:ascii="宋体" w:hAnsi="宋体"/>
          <w:szCs w:val="21"/>
        </w:rPr>
        <w:t>相关人员参加可能对货物、材料采购（处理）、签约、验收、结算等工作的公正性、廉洁性产生影响的各种宴请、旅游和消费娱乐等活动。</w:t>
      </w:r>
    </w:p>
    <w:p>
      <w:pPr>
        <w:autoSpaceDE w:val="0"/>
        <w:autoSpaceDN w:val="0"/>
        <w:adjustRightInd w:val="0"/>
        <w:snapToGrid w:val="0"/>
        <w:spacing w:line="360" w:lineRule="auto"/>
        <w:ind w:firstLine="420" w:firstLineChars="200"/>
        <w:rPr>
          <w:rFonts w:ascii="宋体"/>
          <w:szCs w:val="21"/>
        </w:rPr>
      </w:pPr>
      <w:r>
        <w:rPr>
          <w:rFonts w:ascii="宋体" w:hAnsi="宋体"/>
          <w:szCs w:val="21"/>
        </w:rPr>
        <w:t>4</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不得变相采用借款、报销发票、提供交通工具等作为私用或其他手段向</w:t>
      </w:r>
      <w:r>
        <w:rPr>
          <w:rFonts w:hint="eastAsia" w:ascii="宋体" w:hAnsi="宋体"/>
          <w:szCs w:val="21"/>
          <w:lang w:eastAsia="zh-CN"/>
        </w:rPr>
        <w:t>招标人</w:t>
      </w:r>
      <w:r>
        <w:rPr>
          <w:rFonts w:hint="eastAsia" w:ascii="宋体" w:hAnsi="宋体"/>
          <w:szCs w:val="21"/>
        </w:rPr>
        <w:t>相关人员提供不正当利益。</w:t>
      </w:r>
    </w:p>
    <w:p>
      <w:pPr>
        <w:autoSpaceDE w:val="0"/>
        <w:autoSpaceDN w:val="0"/>
        <w:adjustRightInd w:val="0"/>
        <w:snapToGrid w:val="0"/>
        <w:spacing w:line="360" w:lineRule="auto"/>
        <w:ind w:firstLine="420" w:firstLineChars="200"/>
        <w:rPr>
          <w:rFonts w:ascii="宋体"/>
          <w:szCs w:val="21"/>
        </w:rPr>
      </w:pPr>
      <w:r>
        <w:rPr>
          <w:rFonts w:ascii="宋体" w:hAnsi="宋体"/>
          <w:szCs w:val="21"/>
        </w:rPr>
        <w:t>5</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不得在货物、材料采购（处理）活动中向</w:t>
      </w:r>
      <w:r>
        <w:rPr>
          <w:rFonts w:hint="eastAsia" w:ascii="宋体" w:hAnsi="宋体"/>
          <w:szCs w:val="21"/>
          <w:lang w:eastAsia="zh-CN"/>
        </w:rPr>
        <w:t>招标人</w:t>
      </w:r>
      <w:r>
        <w:rPr>
          <w:rFonts w:hint="eastAsia" w:ascii="宋体" w:hAnsi="宋体"/>
          <w:szCs w:val="21"/>
        </w:rPr>
        <w:t>相关人员许诺提供或为其谋求各类不正当利益，或施加任何形式影响和干扰实施。本协议与甲乙双方签订的有关合同具有同等效力。</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如出现上述行为，</w:t>
      </w:r>
      <w:r>
        <w:rPr>
          <w:rFonts w:hint="eastAsia" w:ascii="宋体" w:hAnsi="宋体"/>
          <w:szCs w:val="21"/>
          <w:lang w:eastAsia="zh-CN"/>
        </w:rPr>
        <w:t>中标人</w:t>
      </w:r>
      <w:r>
        <w:rPr>
          <w:rFonts w:hint="eastAsia" w:ascii="宋体" w:hAnsi="宋体"/>
          <w:szCs w:val="21"/>
        </w:rPr>
        <w:t>自愿承担相关责任，接受</w:t>
      </w:r>
      <w:r>
        <w:rPr>
          <w:rFonts w:hint="eastAsia" w:ascii="宋体" w:hAnsi="宋体"/>
          <w:szCs w:val="21"/>
          <w:lang w:eastAsia="zh-CN"/>
        </w:rPr>
        <w:t>招标人</w:t>
      </w:r>
      <w:r>
        <w:rPr>
          <w:rFonts w:hint="eastAsia" w:ascii="宋体" w:hAnsi="宋体"/>
          <w:szCs w:val="21"/>
        </w:rPr>
        <w:t>与</w:t>
      </w:r>
      <w:r>
        <w:rPr>
          <w:rFonts w:hint="eastAsia" w:ascii="宋体" w:hAnsi="宋体"/>
          <w:szCs w:val="21"/>
          <w:lang w:eastAsia="zh-CN"/>
        </w:rPr>
        <w:t>中标人</w:t>
      </w:r>
      <w:r>
        <w:rPr>
          <w:rFonts w:hint="eastAsia" w:ascii="宋体" w:hAnsi="宋体"/>
          <w:szCs w:val="21"/>
        </w:rPr>
        <w:t>终止合同的处理，造成损失的，</w:t>
      </w:r>
      <w:r>
        <w:rPr>
          <w:rFonts w:hint="eastAsia" w:ascii="宋体" w:hAnsi="宋体"/>
          <w:szCs w:val="21"/>
          <w:lang w:eastAsia="zh-CN"/>
        </w:rPr>
        <w:t>招标人</w:t>
      </w:r>
      <w:r>
        <w:rPr>
          <w:rFonts w:hint="eastAsia" w:ascii="宋体" w:hAnsi="宋体"/>
          <w:szCs w:val="21"/>
        </w:rPr>
        <w:t>有权追究</w:t>
      </w:r>
      <w:r>
        <w:rPr>
          <w:rFonts w:hint="eastAsia" w:ascii="宋体" w:hAnsi="宋体"/>
          <w:szCs w:val="21"/>
          <w:lang w:eastAsia="zh-CN"/>
        </w:rPr>
        <w:t>中标人</w:t>
      </w:r>
      <w:r>
        <w:rPr>
          <w:rFonts w:hint="eastAsia" w:ascii="宋体" w:hAnsi="宋体"/>
          <w:szCs w:val="21"/>
        </w:rPr>
        <w:t>法律责任。</w:t>
      </w:r>
    </w:p>
    <w:p>
      <w:pPr>
        <w:spacing w:line="360" w:lineRule="auto"/>
        <w:ind w:firstLine="420" w:firstLineChars="200"/>
        <w:rPr>
          <w:rFonts w:ascii="宋体"/>
          <w:szCs w:val="21"/>
        </w:rPr>
      </w:pPr>
    </w:p>
    <w:p>
      <w:pPr>
        <w:spacing w:line="360" w:lineRule="auto"/>
        <w:ind w:firstLine="420" w:firstLineChars="200"/>
        <w:rPr>
          <w:rFonts w:ascii="宋体" w:hAnsi="宋体"/>
          <w:bCs/>
          <w:szCs w:val="21"/>
        </w:rPr>
      </w:pPr>
      <w:r>
        <w:rPr>
          <w:rFonts w:hint="eastAsia" w:ascii="宋体" w:hAnsi="宋体"/>
          <w:szCs w:val="21"/>
          <w:lang w:eastAsia="zh-CN"/>
        </w:rPr>
        <w:t>招标人</w:t>
      </w:r>
      <w:r>
        <w:rPr>
          <w:rFonts w:hint="eastAsia" w:ascii="宋体" w:hAnsi="宋体"/>
          <w:szCs w:val="21"/>
        </w:rPr>
        <w:t>：（盖章）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eastAsia="zh-CN"/>
        </w:rPr>
        <w:t>中标人</w:t>
      </w:r>
      <w:r>
        <w:rPr>
          <w:rFonts w:hint="eastAsia" w:ascii="宋体" w:hAnsi="宋体"/>
          <w:szCs w:val="21"/>
        </w:rPr>
        <w:t>：</w:t>
      </w:r>
      <w:r>
        <w:rPr>
          <w:rFonts w:hint="eastAsia" w:ascii="宋体" w:hAnsi="宋体"/>
          <w:bCs/>
          <w:szCs w:val="21"/>
        </w:rPr>
        <w:t>（盖章）</w:t>
      </w:r>
    </w:p>
    <w:p>
      <w:pPr>
        <w:spacing w:line="360" w:lineRule="auto"/>
        <w:ind w:firstLine="420" w:firstLineChars="200"/>
        <w:rPr>
          <w:rFonts w:hint="eastAsia" w:ascii="宋体"/>
          <w:szCs w:val="21"/>
        </w:rPr>
      </w:pPr>
    </w:p>
    <w:p>
      <w:pPr>
        <w:widowControl/>
        <w:spacing w:line="360" w:lineRule="auto"/>
        <w:ind w:firstLine="420" w:firstLineChars="200"/>
        <w:jc w:val="left"/>
        <w:rPr>
          <w:rFonts w:ascii="宋体" w:hAnsi="宋体"/>
          <w:szCs w:val="21"/>
        </w:rPr>
      </w:pPr>
      <w:r>
        <w:rPr>
          <w:rFonts w:hint="eastAsia" w:ascii="宋体" w:hAnsi="宋体"/>
          <w:szCs w:val="21"/>
        </w:rPr>
        <w:t>法定代表人或授权委托人（签字）：</w:t>
      </w:r>
      <w:r>
        <w:rPr>
          <w:rFonts w:ascii="宋体" w:hAnsi="宋体"/>
          <w:szCs w:val="21"/>
        </w:rPr>
        <w:t xml:space="preserve">              </w:t>
      </w:r>
      <w:r>
        <w:rPr>
          <w:rFonts w:hint="eastAsia" w:ascii="宋体" w:hAnsi="宋体"/>
          <w:szCs w:val="21"/>
        </w:rPr>
        <w:t>法定代表人或授权委托人（签字）：</w:t>
      </w:r>
    </w:p>
    <w:p>
      <w:pPr>
        <w:spacing w:line="360" w:lineRule="auto"/>
        <w:rPr>
          <w:rFonts w:ascii="宋体"/>
          <w:szCs w:val="21"/>
        </w:rPr>
      </w:pPr>
    </w:p>
    <w:p>
      <w:pPr>
        <w:spacing w:line="360" w:lineRule="auto"/>
        <w:rPr>
          <w:rFonts w:ascii="宋体"/>
          <w:b/>
          <w:bCs/>
          <w:szCs w:val="21"/>
        </w:rPr>
      </w:pPr>
    </w:p>
    <w:p>
      <w:pPr>
        <w:spacing w:line="360" w:lineRule="auto"/>
        <w:rPr>
          <w:rFonts w:ascii="宋体"/>
          <w:b/>
          <w:bCs/>
          <w:szCs w:val="21"/>
        </w:rPr>
      </w:pPr>
    </w:p>
    <w:p>
      <w:pPr>
        <w:tabs>
          <w:tab w:val="left" w:pos="2977"/>
        </w:tabs>
        <w:adjustRightInd w:val="0"/>
        <w:snapToGrid w:val="0"/>
        <w:spacing w:line="440" w:lineRule="exact"/>
        <w:jc w:val="left"/>
        <w:rPr>
          <w:rFonts w:ascii="宋体" w:cs="宋体"/>
          <w:szCs w:val="21"/>
        </w:rPr>
      </w:pPr>
    </w:p>
    <w:p>
      <w:pPr>
        <w:tabs>
          <w:tab w:val="left" w:pos="2977"/>
        </w:tabs>
        <w:adjustRightInd w:val="0"/>
        <w:snapToGrid w:val="0"/>
        <w:spacing w:line="440" w:lineRule="exact"/>
        <w:jc w:val="left"/>
        <w:rPr>
          <w:rFonts w:hint="eastAsia" w:ascii="宋体" w:cs="宋体"/>
          <w:szCs w:val="21"/>
        </w:rPr>
      </w:pPr>
    </w:p>
    <w:p>
      <w:pPr>
        <w:tabs>
          <w:tab w:val="left" w:pos="2977"/>
        </w:tabs>
        <w:adjustRightInd w:val="0"/>
        <w:snapToGrid w:val="0"/>
        <w:spacing w:line="440" w:lineRule="exact"/>
        <w:jc w:val="left"/>
        <w:rPr>
          <w:rFonts w:hint="eastAsia" w:ascii="宋体" w:cs="宋体"/>
          <w:szCs w:val="21"/>
        </w:rPr>
      </w:pPr>
    </w:p>
    <w:p>
      <w:pPr>
        <w:tabs>
          <w:tab w:val="left" w:pos="2977"/>
        </w:tabs>
        <w:adjustRightInd w:val="0"/>
        <w:snapToGrid w:val="0"/>
        <w:spacing w:line="440" w:lineRule="exact"/>
        <w:jc w:val="left"/>
        <w:rPr>
          <w:rFonts w:hint="eastAsia" w:ascii="宋体" w:cs="宋体"/>
          <w:szCs w:val="21"/>
        </w:rPr>
      </w:pPr>
    </w:p>
    <w:p>
      <w:pPr>
        <w:pStyle w:val="77"/>
        <w:spacing w:before="240" w:after="120"/>
        <w:rPr>
          <w:rStyle w:val="48"/>
          <w:rFonts w:hint="eastAsia"/>
          <w:b/>
          <w:bCs/>
          <w:sz w:val="28"/>
          <w:szCs w:val="28"/>
        </w:rPr>
      </w:pPr>
      <w:bookmarkStart w:id="514" w:name="_Toc11951"/>
      <w:r>
        <w:rPr>
          <w:rStyle w:val="48"/>
          <w:rFonts w:hint="eastAsia"/>
          <w:b/>
          <w:bCs/>
          <w:sz w:val="28"/>
          <w:szCs w:val="28"/>
        </w:rPr>
        <w:t>第六章  投标文件格式</w:t>
      </w:r>
      <w:bookmarkEnd w:id="514"/>
    </w:p>
    <w:p>
      <w:pPr>
        <w:wordWrap w:val="0"/>
        <w:spacing w:after="120" w:line="360" w:lineRule="atLeast"/>
        <w:jc w:val="right"/>
        <w:outlineLvl w:val="0"/>
        <w:rPr>
          <w:rFonts w:ascii="宋体" w:cs="宋体"/>
          <w:sz w:val="24"/>
        </w:rPr>
      </w:pPr>
      <w:bookmarkStart w:id="515" w:name="_Toc31883"/>
      <w:r>
        <w:rPr>
          <w:rFonts w:hint="eastAsia" w:ascii="宋体" w:cs="宋体"/>
          <w:sz w:val="24"/>
        </w:rPr>
        <w:t>正本</w:t>
      </w:r>
      <w:r>
        <w:rPr>
          <w:rFonts w:ascii="宋体" w:cs="宋体"/>
          <w:sz w:val="24"/>
        </w:rPr>
        <w:t>/</w:t>
      </w:r>
      <w:r>
        <w:rPr>
          <w:rFonts w:hint="eastAsia" w:ascii="宋体" w:cs="宋体"/>
          <w:sz w:val="24"/>
        </w:rPr>
        <w:t>副本</w:t>
      </w:r>
      <w:bookmarkEnd w:id="515"/>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spacing w:after="120" w:line="360" w:lineRule="auto"/>
        <w:jc w:val="center"/>
        <w:rPr>
          <w:rFonts w:hint="eastAsia" w:ascii="宋体" w:hAnsi="宋体" w:cs="宋体"/>
          <w:b/>
          <w:sz w:val="30"/>
          <w:szCs w:val="30"/>
        </w:rPr>
      </w:pPr>
      <w:r>
        <w:rPr>
          <w:rFonts w:hint="eastAsia" w:ascii="宋体" w:hAnsi="宋体" w:cs="宋体"/>
          <w:b/>
          <w:sz w:val="30"/>
          <w:szCs w:val="30"/>
        </w:rPr>
        <w:t xml:space="preserve">                                </w:t>
      </w:r>
    </w:p>
    <w:p>
      <w:pPr>
        <w:spacing w:after="120" w:line="360" w:lineRule="atLeast"/>
        <w:jc w:val="center"/>
        <w:rPr>
          <w:rFonts w:hint="eastAsia" w:ascii="宋体" w:hAnsi="宋体" w:cs="宋体"/>
          <w:bCs/>
          <w:sz w:val="30"/>
          <w:szCs w:val="30"/>
        </w:rPr>
      </w:pPr>
      <w:r>
        <w:rPr>
          <w:rFonts w:hint="eastAsia" w:ascii="宋体" w:hAnsi="宋体" w:cs="宋体"/>
          <w:bCs/>
          <w:sz w:val="30"/>
          <w:szCs w:val="30"/>
        </w:rPr>
        <w:t>S103济枣线山亭区凫城至市中区曾店段改建工程</w:t>
      </w:r>
    </w:p>
    <w:p>
      <w:pPr>
        <w:spacing w:after="120" w:line="360" w:lineRule="atLeast"/>
        <w:jc w:val="center"/>
        <w:rPr>
          <w:rFonts w:hint="eastAsia" w:ascii="宋体" w:hAnsi="宋体" w:cs="宋体"/>
          <w:b/>
          <w:sz w:val="30"/>
          <w:szCs w:val="30"/>
        </w:rPr>
      </w:pPr>
      <w:r>
        <w:rPr>
          <w:rFonts w:hint="eastAsia" w:ascii="宋体" w:hAnsi="宋体" w:cs="宋体"/>
          <w:bCs/>
          <w:sz w:val="30"/>
          <w:szCs w:val="30"/>
        </w:rPr>
        <w:t>商品混凝土采购</w:t>
      </w: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ascii="宋体" w:cs="宋体"/>
          <w:b/>
          <w:sz w:val="32"/>
          <w:szCs w:val="32"/>
        </w:rPr>
      </w:pPr>
    </w:p>
    <w:p>
      <w:pPr>
        <w:adjustRightInd w:val="0"/>
        <w:snapToGrid w:val="0"/>
        <w:spacing w:line="440" w:lineRule="exact"/>
        <w:ind w:firstLine="720" w:firstLineChars="300"/>
        <w:outlineLvl w:val="0"/>
        <w:rPr>
          <w:rFonts w:ascii="宋体" w:cs="宋体"/>
          <w:sz w:val="24"/>
        </w:rPr>
      </w:pPr>
      <w:bookmarkStart w:id="516" w:name="_Toc5056"/>
      <w:r>
        <w:rPr>
          <w:rFonts w:hint="eastAsia" w:ascii="宋体" w:hAnsi="宋体" w:cs="宋体"/>
          <w:sz w:val="24"/>
        </w:rPr>
        <w:t>投标人名称：</w:t>
      </w:r>
      <w:r>
        <w:rPr>
          <w:rFonts w:ascii="宋体" w:hAnsi="宋体" w:cs="宋体"/>
          <w:sz w:val="24"/>
          <w:u w:val="single"/>
        </w:rPr>
        <w:t xml:space="preserve">                              </w:t>
      </w:r>
      <w:r>
        <w:rPr>
          <w:rFonts w:hint="eastAsia" w:ascii="宋体" w:hAnsi="宋体" w:cs="宋体"/>
          <w:sz w:val="24"/>
        </w:rPr>
        <w:t>（盖单位公章）</w:t>
      </w:r>
      <w:bookmarkEnd w:id="516"/>
    </w:p>
    <w:p>
      <w:pPr>
        <w:adjustRightInd w:val="0"/>
        <w:snapToGrid w:val="0"/>
        <w:spacing w:line="440" w:lineRule="exact"/>
        <w:ind w:firstLine="1020" w:firstLineChars="425"/>
        <w:rPr>
          <w:rFonts w:ascii="宋体" w:cs="宋体"/>
          <w:sz w:val="24"/>
        </w:rPr>
      </w:pPr>
    </w:p>
    <w:p>
      <w:pPr>
        <w:adjustRightInd w:val="0"/>
        <w:snapToGrid w:val="0"/>
        <w:spacing w:line="440" w:lineRule="exact"/>
        <w:ind w:firstLine="720" w:firstLineChars="300"/>
        <w:outlineLvl w:val="0"/>
        <w:rPr>
          <w:rFonts w:ascii="宋体" w:cs="宋体"/>
          <w:sz w:val="24"/>
          <w:u w:val="single"/>
        </w:rPr>
      </w:pPr>
      <w:bookmarkStart w:id="517" w:name="_Toc9585"/>
      <w:r>
        <w:rPr>
          <w:rFonts w:hint="eastAsia" w:ascii="宋体" w:hAnsi="宋体" w:cs="宋体"/>
          <w:sz w:val="24"/>
        </w:rPr>
        <w:t>法定代表人或者授权委托人：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bookmarkEnd w:id="517"/>
    </w:p>
    <w:p>
      <w:pPr>
        <w:adjustRightInd w:val="0"/>
        <w:snapToGrid w:val="0"/>
        <w:spacing w:after="120" w:line="440" w:lineRule="exact"/>
        <w:ind w:firstLine="1200" w:firstLineChars="500"/>
        <w:jc w:val="left"/>
        <w:rPr>
          <w:rFonts w:ascii="宋体" w:cs="宋体"/>
          <w:sz w:val="24"/>
        </w:rPr>
      </w:pPr>
    </w:p>
    <w:p>
      <w:pPr>
        <w:adjustRightInd w:val="0"/>
        <w:snapToGrid w:val="0"/>
        <w:spacing w:line="440" w:lineRule="exact"/>
        <w:jc w:val="center"/>
        <w:outlineLvl w:val="0"/>
        <w:rPr>
          <w:rFonts w:ascii="宋体" w:cs="宋体"/>
        </w:rPr>
      </w:pPr>
      <w:r>
        <w:rPr>
          <w:rFonts w:ascii="宋体" w:hAnsi="宋体" w:cs="宋体"/>
          <w:sz w:val="24"/>
          <w:u w:val="single"/>
        </w:rPr>
        <w:t xml:space="preserve">     </w:t>
      </w:r>
      <w:bookmarkStart w:id="518" w:name="_Toc7520"/>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bookmarkEnd w:id="518"/>
    </w:p>
    <w:p/>
    <w:p>
      <w:pPr>
        <w:spacing w:after="120"/>
        <w:jc w:val="center"/>
        <w:rPr>
          <w:rFonts w:hint="eastAsia" w:ascii="宋体" w:cs="宋体"/>
          <w:b/>
          <w:sz w:val="36"/>
          <w:szCs w:val="36"/>
        </w:rPr>
      </w:pPr>
    </w:p>
    <w:p>
      <w:pPr>
        <w:pStyle w:val="2"/>
        <w:rPr>
          <w:rFonts w:hint="eastAsia"/>
        </w:rPr>
      </w:pPr>
    </w:p>
    <w:p>
      <w:pPr>
        <w:spacing w:after="120"/>
        <w:jc w:val="center"/>
        <w:rPr>
          <w:rFonts w:ascii="宋体" w:cs="宋体"/>
          <w:b/>
          <w:sz w:val="36"/>
          <w:szCs w:val="36"/>
        </w:rPr>
      </w:pPr>
    </w:p>
    <w:p>
      <w:pPr>
        <w:spacing w:after="120"/>
        <w:jc w:val="center"/>
        <w:outlineLvl w:val="0"/>
        <w:rPr>
          <w:rFonts w:ascii="宋体" w:cs="宋体"/>
          <w:b/>
          <w:sz w:val="36"/>
          <w:szCs w:val="36"/>
        </w:rPr>
      </w:pPr>
      <w:bookmarkStart w:id="519" w:name="_Toc21954"/>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bookmarkEnd w:id="519"/>
    </w:p>
    <w:p/>
    <w:p>
      <w:pPr>
        <w:pStyle w:val="83"/>
        <w:tabs>
          <w:tab w:val="left" w:pos="567"/>
        </w:tabs>
        <w:adjustRightInd w:val="0"/>
        <w:snapToGrid w:val="0"/>
        <w:spacing w:line="440" w:lineRule="exact"/>
        <w:ind w:firstLine="0" w:firstLineChars="0"/>
        <w:outlineLvl w:val="0"/>
        <w:rPr>
          <w:rFonts w:ascii="宋体" w:cs="宋体"/>
          <w:sz w:val="24"/>
        </w:rPr>
      </w:pPr>
      <w:bookmarkStart w:id="520" w:name="_Toc5756"/>
      <w:r>
        <w:rPr>
          <w:rFonts w:hint="eastAsia" w:ascii="宋体" w:hAnsi="宋体" w:cs="宋体"/>
          <w:sz w:val="24"/>
        </w:rPr>
        <w:t>一、投标函</w:t>
      </w:r>
      <w:bookmarkEnd w:id="520"/>
    </w:p>
    <w:p>
      <w:pPr>
        <w:pStyle w:val="83"/>
        <w:tabs>
          <w:tab w:val="left" w:pos="567"/>
        </w:tabs>
        <w:adjustRightInd w:val="0"/>
        <w:snapToGrid w:val="0"/>
        <w:spacing w:line="440" w:lineRule="exact"/>
        <w:ind w:firstLine="0" w:firstLineChars="0"/>
        <w:outlineLvl w:val="0"/>
        <w:rPr>
          <w:rFonts w:ascii="宋体" w:cs="宋体"/>
          <w:sz w:val="24"/>
        </w:rPr>
      </w:pPr>
      <w:bookmarkStart w:id="521" w:name="_Toc30558"/>
      <w:r>
        <w:rPr>
          <w:rFonts w:hint="eastAsia" w:ascii="宋体" w:hAnsi="宋体" w:cs="宋体"/>
          <w:sz w:val="24"/>
        </w:rPr>
        <w:t>二、法定代表人身份证明</w:t>
      </w:r>
      <w:bookmarkEnd w:id="521"/>
    </w:p>
    <w:p>
      <w:pPr>
        <w:pStyle w:val="83"/>
        <w:tabs>
          <w:tab w:val="left" w:pos="567"/>
        </w:tabs>
        <w:adjustRightInd w:val="0"/>
        <w:snapToGrid w:val="0"/>
        <w:spacing w:line="440" w:lineRule="exact"/>
        <w:ind w:firstLine="0" w:firstLineChars="0"/>
        <w:outlineLvl w:val="0"/>
        <w:rPr>
          <w:rFonts w:ascii="宋体" w:cs="宋体"/>
          <w:sz w:val="24"/>
        </w:rPr>
      </w:pPr>
      <w:bookmarkStart w:id="522" w:name="_Toc2428"/>
      <w:r>
        <w:rPr>
          <w:rFonts w:hint="eastAsia" w:ascii="宋体" w:hAnsi="宋体" w:cs="宋体"/>
          <w:sz w:val="24"/>
        </w:rPr>
        <w:t>三、法定代表人授权委托书</w:t>
      </w:r>
      <w:bookmarkEnd w:id="522"/>
    </w:p>
    <w:p>
      <w:pPr>
        <w:pStyle w:val="83"/>
        <w:tabs>
          <w:tab w:val="left" w:pos="567"/>
        </w:tabs>
        <w:adjustRightInd w:val="0"/>
        <w:snapToGrid w:val="0"/>
        <w:spacing w:line="440" w:lineRule="exact"/>
        <w:ind w:firstLine="0" w:firstLineChars="0"/>
        <w:outlineLvl w:val="0"/>
        <w:rPr>
          <w:rFonts w:ascii="宋体" w:hAnsi="宋体" w:cs="宋体"/>
          <w:sz w:val="24"/>
        </w:rPr>
      </w:pPr>
      <w:bookmarkStart w:id="523" w:name="_Toc7209"/>
      <w:r>
        <w:rPr>
          <w:rFonts w:hint="eastAsia" w:ascii="宋体" w:hAnsi="宋体" w:cs="宋体"/>
          <w:sz w:val="24"/>
        </w:rPr>
        <w:t>四、投标报价表及说明</w:t>
      </w:r>
      <w:bookmarkEnd w:id="523"/>
    </w:p>
    <w:p>
      <w:pPr>
        <w:pStyle w:val="83"/>
        <w:tabs>
          <w:tab w:val="left" w:pos="567"/>
        </w:tabs>
        <w:adjustRightInd w:val="0"/>
        <w:snapToGrid w:val="0"/>
        <w:spacing w:line="440" w:lineRule="exact"/>
        <w:ind w:firstLine="0" w:firstLineChars="0"/>
        <w:outlineLvl w:val="0"/>
        <w:rPr>
          <w:rFonts w:ascii="宋体" w:cs="宋体"/>
          <w:sz w:val="24"/>
        </w:rPr>
      </w:pPr>
      <w:bookmarkStart w:id="524" w:name="_Toc3881"/>
      <w:r>
        <w:rPr>
          <w:rFonts w:hint="eastAsia" w:ascii="宋体" w:hAnsi="宋体" w:cs="宋体"/>
          <w:sz w:val="24"/>
        </w:rPr>
        <w:t>五、投标人综合概况表</w:t>
      </w:r>
      <w:bookmarkEnd w:id="524"/>
    </w:p>
    <w:p>
      <w:pPr>
        <w:pStyle w:val="83"/>
        <w:tabs>
          <w:tab w:val="left" w:pos="567"/>
        </w:tabs>
        <w:adjustRightInd w:val="0"/>
        <w:snapToGrid w:val="0"/>
        <w:spacing w:line="440" w:lineRule="exact"/>
        <w:ind w:firstLine="0" w:firstLineChars="0"/>
        <w:outlineLvl w:val="0"/>
        <w:rPr>
          <w:rFonts w:ascii="宋体" w:cs="宋体"/>
          <w:sz w:val="24"/>
        </w:rPr>
      </w:pPr>
      <w:bookmarkStart w:id="525" w:name="_Toc19421"/>
      <w:r>
        <w:rPr>
          <w:rFonts w:hint="eastAsia" w:ascii="宋体" w:hAnsi="宋体" w:cs="宋体"/>
          <w:sz w:val="24"/>
        </w:rPr>
        <w:t>六、资格审查资料</w:t>
      </w:r>
      <w:bookmarkEnd w:id="525"/>
    </w:p>
    <w:p>
      <w:pPr>
        <w:pStyle w:val="83"/>
        <w:tabs>
          <w:tab w:val="left" w:pos="567"/>
        </w:tabs>
        <w:adjustRightInd w:val="0"/>
        <w:snapToGrid w:val="0"/>
        <w:spacing w:line="440" w:lineRule="exact"/>
        <w:ind w:firstLine="0" w:firstLineChars="0"/>
        <w:outlineLvl w:val="0"/>
        <w:rPr>
          <w:rFonts w:ascii="宋体" w:cs="宋体"/>
          <w:sz w:val="24"/>
        </w:rPr>
      </w:pPr>
      <w:bookmarkStart w:id="526" w:name="_Toc10711"/>
      <w:r>
        <w:rPr>
          <w:rFonts w:hint="eastAsia" w:ascii="宋体" w:hAnsi="宋体" w:cs="宋体"/>
          <w:sz w:val="24"/>
        </w:rPr>
        <w:t>七、</w:t>
      </w:r>
      <w:r>
        <w:rPr>
          <w:rFonts w:hint="eastAsia" w:ascii="宋体" w:hAnsi="宋体"/>
          <w:sz w:val="24"/>
        </w:rPr>
        <w:t>近三年（</w:t>
      </w:r>
      <w:r>
        <w:rPr>
          <w:rFonts w:ascii="宋体" w:hAnsi="宋体"/>
          <w:sz w:val="24"/>
        </w:rPr>
        <w:t>201</w:t>
      </w:r>
      <w:r>
        <w:rPr>
          <w:rFonts w:hint="eastAsia" w:ascii="宋体" w:hAnsi="宋体"/>
          <w:sz w:val="24"/>
        </w:rPr>
        <w:t>8年1</w:t>
      </w:r>
      <w:r>
        <w:rPr>
          <w:rFonts w:hint="eastAsia" w:ascii="宋体" w:hAnsi="宋体"/>
          <w:sz w:val="24"/>
          <w:lang w:val="en-US" w:eastAsia="zh-CN"/>
        </w:rPr>
        <w:t>1</w:t>
      </w:r>
      <w:r>
        <w:rPr>
          <w:rFonts w:hint="eastAsia" w:ascii="宋体" w:hAnsi="宋体"/>
          <w:sz w:val="24"/>
        </w:rPr>
        <w:t>月－2021年1</w:t>
      </w:r>
      <w:r>
        <w:rPr>
          <w:rFonts w:hint="eastAsia" w:ascii="宋体" w:hAnsi="宋体"/>
          <w:sz w:val="24"/>
          <w:lang w:val="en-US" w:eastAsia="zh-CN"/>
        </w:rPr>
        <w:t>1</w:t>
      </w:r>
      <w:r>
        <w:rPr>
          <w:rFonts w:hint="eastAsia" w:ascii="宋体" w:hAnsi="宋体"/>
          <w:sz w:val="24"/>
        </w:rPr>
        <w:t>月）业绩情况表</w:t>
      </w:r>
      <w:bookmarkEnd w:id="526"/>
    </w:p>
    <w:p>
      <w:pPr>
        <w:tabs>
          <w:tab w:val="left" w:pos="567"/>
        </w:tabs>
        <w:adjustRightInd w:val="0"/>
        <w:snapToGrid w:val="0"/>
        <w:spacing w:line="440" w:lineRule="exact"/>
        <w:outlineLvl w:val="0"/>
        <w:rPr>
          <w:rFonts w:ascii="宋体" w:cs="宋体"/>
          <w:sz w:val="24"/>
        </w:rPr>
      </w:pPr>
      <w:bookmarkStart w:id="527" w:name="_Toc5146"/>
      <w:r>
        <w:rPr>
          <w:rFonts w:hint="eastAsia" w:ascii="宋体" w:hAnsi="宋体" w:cs="宋体"/>
          <w:sz w:val="24"/>
        </w:rPr>
        <w:t>八、服务方案及综合实力</w:t>
      </w:r>
      <w:bookmarkEnd w:id="527"/>
    </w:p>
    <w:p>
      <w:pPr>
        <w:tabs>
          <w:tab w:val="left" w:pos="567"/>
        </w:tabs>
        <w:adjustRightInd w:val="0"/>
        <w:snapToGrid w:val="0"/>
        <w:spacing w:line="440" w:lineRule="exact"/>
        <w:outlineLvl w:val="0"/>
        <w:rPr>
          <w:rFonts w:ascii="宋体" w:cs="宋体"/>
          <w:sz w:val="24"/>
        </w:rPr>
      </w:pPr>
      <w:bookmarkStart w:id="528" w:name="_Toc18288"/>
      <w:r>
        <w:rPr>
          <w:rFonts w:hint="eastAsia" w:ascii="宋体" w:hAnsi="宋体" w:cs="宋体"/>
          <w:sz w:val="24"/>
        </w:rPr>
        <w:t>九、其他相关证明材料</w:t>
      </w:r>
      <w:bookmarkEnd w:id="528"/>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Pr>
        <w:pStyle w:val="36"/>
        <w:tabs>
          <w:tab w:val="left" w:pos="588"/>
        </w:tabs>
        <w:snapToGrid w:val="0"/>
        <w:spacing w:before="120" w:after="120" w:line="440" w:lineRule="exact"/>
        <w:jc w:val="left"/>
        <w:outlineLvl w:val="9"/>
        <w:rPr>
          <w:rFonts w:ascii="宋体"/>
          <w:sz w:val="24"/>
          <w:szCs w:val="24"/>
        </w:rPr>
      </w:pPr>
    </w:p>
    <w:p/>
    <w:p/>
    <w:p>
      <w:pPr>
        <w:pStyle w:val="36"/>
        <w:tabs>
          <w:tab w:val="left" w:pos="588"/>
        </w:tabs>
        <w:snapToGrid w:val="0"/>
        <w:spacing w:before="120" w:after="120" w:line="440" w:lineRule="exact"/>
        <w:jc w:val="left"/>
        <w:outlineLvl w:val="9"/>
        <w:rPr>
          <w:rFonts w:ascii="宋体"/>
          <w:sz w:val="24"/>
          <w:szCs w:val="24"/>
        </w:rPr>
      </w:pPr>
    </w:p>
    <w:p/>
    <w:p>
      <w:pPr>
        <w:pStyle w:val="2"/>
        <w:snapToGrid w:val="0"/>
        <w:spacing w:before="240" w:after="120" w:line="240" w:lineRule="auto"/>
        <w:jc w:val="center"/>
        <w:rPr>
          <w:rFonts w:ascii="宋体" w:hAnsi="宋体" w:eastAsia="宋体" w:cs="宋体"/>
          <w:bCs w:val="0"/>
          <w:sz w:val="24"/>
          <w:szCs w:val="24"/>
        </w:rPr>
      </w:pPr>
      <w:bookmarkStart w:id="529" w:name="_Toc6908"/>
      <w:r>
        <w:rPr>
          <w:rFonts w:hint="eastAsia" w:ascii="宋体" w:hAnsi="宋体" w:eastAsia="宋体" w:cs="宋体"/>
          <w:bCs w:val="0"/>
          <w:sz w:val="24"/>
          <w:szCs w:val="24"/>
        </w:rPr>
        <w:t>一、投</w:t>
      </w:r>
      <w:r>
        <w:rPr>
          <w:rFonts w:ascii="宋体" w:hAnsi="宋体" w:eastAsia="宋体" w:cs="宋体"/>
          <w:bCs w:val="0"/>
          <w:sz w:val="24"/>
          <w:szCs w:val="24"/>
        </w:rPr>
        <w:t xml:space="preserve"> </w:t>
      </w:r>
      <w:r>
        <w:rPr>
          <w:rFonts w:hint="eastAsia" w:ascii="宋体" w:hAnsi="宋体" w:eastAsia="宋体" w:cs="宋体"/>
          <w:bCs w:val="0"/>
          <w:sz w:val="24"/>
          <w:szCs w:val="24"/>
        </w:rPr>
        <w:t>标</w:t>
      </w:r>
      <w:r>
        <w:rPr>
          <w:rFonts w:ascii="宋体" w:hAnsi="宋体" w:eastAsia="宋体" w:cs="宋体"/>
          <w:bCs w:val="0"/>
          <w:sz w:val="24"/>
          <w:szCs w:val="24"/>
        </w:rPr>
        <w:t xml:space="preserve"> </w:t>
      </w:r>
      <w:r>
        <w:rPr>
          <w:rFonts w:hint="eastAsia" w:ascii="宋体" w:hAnsi="宋体" w:eastAsia="宋体" w:cs="宋体"/>
          <w:bCs w:val="0"/>
          <w:sz w:val="24"/>
          <w:szCs w:val="24"/>
        </w:rPr>
        <w:t>函</w:t>
      </w:r>
      <w:bookmarkEnd w:id="529"/>
    </w:p>
    <w:p>
      <w:pPr>
        <w:adjustRightInd w:val="0"/>
        <w:snapToGrid w:val="0"/>
        <w:spacing w:line="400" w:lineRule="exact"/>
        <w:jc w:val="left"/>
        <w:rPr>
          <w:rFonts w:hint="eastAsia" w:ascii="宋体" w:cs="宋体"/>
          <w:szCs w:val="21"/>
        </w:rPr>
      </w:pPr>
      <w:r>
        <w:rPr>
          <w:rFonts w:hint="eastAsia" w:ascii="宋体" w:hAnsi="宋体" w:cs="宋体"/>
          <w:szCs w:val="21"/>
        </w:rPr>
        <w:t>致：</w:t>
      </w:r>
      <w:r>
        <w:rPr>
          <w:rFonts w:hint="eastAsia" w:ascii="宋体" w:hAnsi="宋体"/>
          <w:szCs w:val="21"/>
          <w:u w:val="single"/>
        </w:rPr>
        <w:t>中国地质工程集团有限公司</w:t>
      </w:r>
    </w:p>
    <w:p>
      <w:pPr>
        <w:spacing w:line="400" w:lineRule="exact"/>
        <w:ind w:firstLine="420" w:firstLineChars="200"/>
        <w:rPr>
          <w:rFonts w:ascii="宋体"/>
          <w:szCs w:val="21"/>
        </w:rPr>
      </w:pPr>
      <w:r>
        <w:rPr>
          <w:rFonts w:ascii="宋体" w:hAnsi="宋体"/>
          <w:szCs w:val="21"/>
          <w:u w:val="single"/>
        </w:rPr>
        <w:t xml:space="preserve">    </w:t>
      </w:r>
      <w:r>
        <w:rPr>
          <w:rFonts w:hint="eastAsia" w:ascii="宋体" w:hAnsi="宋体"/>
          <w:szCs w:val="21"/>
          <w:u w:val="single"/>
        </w:rPr>
        <w:t>（投标人名称）</w:t>
      </w:r>
      <w:r>
        <w:rPr>
          <w:rFonts w:ascii="宋体" w:hAnsi="宋体"/>
          <w:szCs w:val="21"/>
          <w:u w:val="single"/>
        </w:rPr>
        <w:t xml:space="preserve">    </w:t>
      </w:r>
      <w:r>
        <w:rPr>
          <w:rFonts w:hint="eastAsia" w:ascii="宋体" w:hAnsi="宋体"/>
          <w:szCs w:val="21"/>
        </w:rPr>
        <w:t>（以下称“我方”）已仔细研究了</w:t>
      </w:r>
      <w:r>
        <w:rPr>
          <w:rFonts w:hint="eastAsia" w:ascii="宋体" w:hAnsi="宋体"/>
          <w:szCs w:val="21"/>
          <w:u w:val="single"/>
        </w:rPr>
        <w:t xml:space="preserve">                                </w:t>
      </w:r>
      <w:r>
        <w:rPr>
          <w:rFonts w:hint="eastAsia" w:ascii="宋体" w:hAnsi="宋体" w:cs="宋体"/>
          <w:bCs/>
          <w:szCs w:val="21"/>
          <w:u w:val="single"/>
        </w:rPr>
        <w:t>S103济枣线山亭区凫城至市中区曾店段改建工程商品混凝土采购</w:t>
      </w:r>
      <w:r>
        <w:rPr>
          <w:rFonts w:hint="eastAsia" w:ascii="宋体" w:hAnsi="宋体"/>
          <w:szCs w:val="21"/>
        </w:rPr>
        <w:t>（招标编号：</w:t>
      </w:r>
      <w:r>
        <w:rPr>
          <w:rFonts w:hint="eastAsia" w:ascii="宋体" w:hAnsi="宋体"/>
          <w:szCs w:val="21"/>
          <w:u w:val="single"/>
        </w:rPr>
        <w:t>CGC2021-JS-CL-15</w:t>
      </w:r>
      <w:r>
        <w:rPr>
          <w:rFonts w:hint="eastAsia" w:ascii="宋体" w:hAnsi="宋体"/>
          <w:szCs w:val="21"/>
        </w:rPr>
        <w:t>）招标文件的全部内容，</w:t>
      </w:r>
      <w:r>
        <w:rPr>
          <w:rFonts w:hint="eastAsia" w:ascii="宋体" w:hAnsi="宋体"/>
          <w:bCs/>
          <w:szCs w:val="21"/>
        </w:rPr>
        <w:t>包括澄清或者修改文件以及有关附件</w:t>
      </w:r>
      <w:r>
        <w:rPr>
          <w:rFonts w:hint="eastAsia" w:ascii="宋体" w:hAnsi="宋体"/>
          <w:szCs w:val="21"/>
        </w:rPr>
        <w:t>，我方将严格按照招标文件要求递交符合要求的全部投标文件。</w:t>
      </w:r>
    </w:p>
    <w:p>
      <w:pPr>
        <w:spacing w:line="400" w:lineRule="exact"/>
        <w:ind w:firstLine="420" w:firstLineChars="200"/>
        <w:rPr>
          <w:rFonts w:ascii="宋体"/>
          <w:szCs w:val="21"/>
        </w:rPr>
      </w:pPr>
      <w:r>
        <w:rPr>
          <w:rFonts w:hint="eastAsia" w:ascii="宋体" w:hAnsi="宋体"/>
          <w:szCs w:val="21"/>
        </w:rPr>
        <w:t>我方承诺如下内容：</w:t>
      </w:r>
    </w:p>
    <w:p>
      <w:pPr>
        <w:numPr>
          <w:ilvl w:val="0"/>
          <w:numId w:val="5"/>
        </w:numPr>
        <w:spacing w:line="400" w:lineRule="exact"/>
        <w:ind w:left="210" w:leftChars="100" w:firstLine="210" w:firstLineChars="100"/>
        <w:rPr>
          <w:rFonts w:hint="eastAsia" w:ascii="宋体" w:hAnsi="宋体"/>
          <w:szCs w:val="21"/>
          <w:highlight w:val="none"/>
          <w:u w:val="single"/>
          <w:lang w:val="en-US" w:eastAsia="zh-CN"/>
        </w:rPr>
      </w:pPr>
      <w:r>
        <w:rPr>
          <w:rFonts w:hint="eastAsia" w:ascii="宋体" w:hAnsi="宋体"/>
          <w:szCs w:val="21"/>
        </w:rPr>
        <w:t>我方愿以</w:t>
      </w:r>
      <w:r>
        <w:rPr>
          <w:rFonts w:hint="eastAsia" w:ascii="宋体" w:hAnsi="宋体"/>
          <w:b/>
          <w:bCs/>
          <w:szCs w:val="21"/>
          <w:lang w:val="en-US" w:eastAsia="zh-CN"/>
        </w:rPr>
        <w:t>材料部分：</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numPr>
          <w:ilvl w:val="0"/>
          <w:numId w:val="0"/>
        </w:numPr>
        <w:spacing w:line="400" w:lineRule="exact"/>
        <w:ind w:leftChars="200"/>
        <w:rPr>
          <w:rFonts w:hint="eastAsia" w:ascii="宋体" w:hAnsi="宋体"/>
          <w:szCs w:val="21"/>
          <w:highlight w:val="none"/>
          <w:u w:val="single"/>
          <w:lang w:val="en-US" w:eastAsia="zh-CN"/>
        </w:rPr>
      </w:pPr>
      <w:r>
        <w:rPr>
          <w:rFonts w:hint="eastAsia" w:ascii="宋体" w:hAnsi="宋体"/>
          <w:b/>
          <w:bCs w:val="0"/>
          <w:sz w:val="21"/>
          <w:szCs w:val="21"/>
          <w:lang w:val="en-US" w:eastAsia="zh-CN"/>
        </w:rPr>
        <w:t>抗渗P6</w:t>
      </w:r>
      <w:r>
        <w:rPr>
          <w:rFonts w:hint="eastAsia" w:ascii="宋体" w:hAnsi="宋体" w:cs="宋体"/>
          <w:b/>
          <w:bCs w:val="0"/>
          <w:sz w:val="21"/>
          <w:szCs w:val="21"/>
          <w:lang w:val="en-US" w:eastAsia="zh-CN"/>
        </w:rPr>
        <w:t>：</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numPr>
          <w:ilvl w:val="0"/>
          <w:numId w:val="0"/>
        </w:numPr>
        <w:spacing w:line="400" w:lineRule="exact"/>
        <w:ind w:leftChars="200"/>
        <w:rPr>
          <w:rFonts w:hint="eastAsia" w:ascii="宋体" w:hAnsi="宋体"/>
          <w:szCs w:val="21"/>
          <w:highlight w:val="none"/>
          <w:u w:val="single"/>
          <w:lang w:val="en-US" w:eastAsia="zh-CN"/>
        </w:rPr>
      </w:pPr>
      <w:r>
        <w:rPr>
          <w:rFonts w:hint="eastAsia" w:ascii="宋体" w:hAnsi="宋体"/>
          <w:b/>
          <w:bCs w:val="0"/>
          <w:sz w:val="21"/>
          <w:szCs w:val="21"/>
          <w:lang w:val="en-US" w:eastAsia="zh-CN"/>
        </w:rPr>
        <w:t>抗渗P8</w:t>
      </w:r>
      <w:r>
        <w:rPr>
          <w:rFonts w:hint="eastAsia" w:ascii="宋体" w:hAnsi="宋体" w:cs="宋体"/>
          <w:b/>
          <w:bCs w:val="0"/>
          <w:sz w:val="21"/>
          <w:szCs w:val="21"/>
          <w:lang w:val="en-US" w:eastAsia="zh-CN"/>
        </w:rPr>
        <w:t>：</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numPr>
          <w:ilvl w:val="0"/>
          <w:numId w:val="0"/>
        </w:numPr>
        <w:spacing w:line="400" w:lineRule="exact"/>
        <w:ind w:leftChars="200"/>
        <w:rPr>
          <w:rFonts w:hint="eastAsia" w:ascii="宋体" w:hAnsi="宋体"/>
          <w:szCs w:val="21"/>
          <w:highlight w:val="none"/>
          <w:u w:val="single"/>
          <w:lang w:val="en-US" w:eastAsia="zh-CN"/>
        </w:rPr>
      </w:pPr>
      <w:r>
        <w:rPr>
          <w:rFonts w:hint="eastAsia" w:ascii="宋体" w:hAnsi="宋体"/>
          <w:b/>
          <w:bCs w:val="0"/>
          <w:sz w:val="21"/>
          <w:szCs w:val="21"/>
          <w:lang w:val="en-US" w:eastAsia="zh-CN"/>
        </w:rPr>
        <w:t>钢纤维：</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numPr>
          <w:ilvl w:val="0"/>
          <w:numId w:val="0"/>
        </w:numPr>
        <w:spacing w:line="400" w:lineRule="exact"/>
        <w:ind w:leftChars="200"/>
        <w:rPr>
          <w:rFonts w:hint="eastAsia" w:ascii="宋体" w:hAnsi="宋体"/>
          <w:szCs w:val="21"/>
          <w:highlight w:val="none"/>
          <w:u w:val="single"/>
          <w:lang w:val="en-US" w:eastAsia="zh-CN"/>
        </w:rPr>
      </w:pPr>
      <w:r>
        <w:rPr>
          <w:rFonts w:hint="eastAsia" w:ascii="宋体" w:hAnsi="宋体"/>
          <w:b/>
          <w:bCs w:val="0"/>
          <w:sz w:val="21"/>
          <w:szCs w:val="21"/>
          <w:lang w:val="en-US" w:eastAsia="zh-CN"/>
        </w:rPr>
        <w:t>防冻剂：</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 xml:space="preserve">   </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numPr>
          <w:ilvl w:val="0"/>
          <w:numId w:val="0"/>
        </w:numPr>
        <w:spacing w:line="400" w:lineRule="exact"/>
        <w:ind w:leftChars="200"/>
        <w:rPr>
          <w:rFonts w:hint="eastAsia" w:ascii="宋体" w:hAnsi="宋体"/>
          <w:szCs w:val="21"/>
          <w:highlight w:val="none"/>
          <w:u w:val="single"/>
          <w:lang w:val="en-US" w:eastAsia="zh-CN"/>
        </w:rPr>
      </w:pPr>
      <w:r>
        <w:rPr>
          <w:rFonts w:hint="eastAsia" w:ascii="宋体" w:hAnsi="宋体"/>
          <w:b/>
          <w:bCs w:val="0"/>
          <w:sz w:val="21"/>
          <w:szCs w:val="21"/>
          <w:lang w:val="en-US" w:eastAsia="zh-CN"/>
        </w:rPr>
        <w:t>膨胀剂：</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numPr>
          <w:ilvl w:val="0"/>
          <w:numId w:val="0"/>
        </w:numPr>
        <w:spacing w:line="400" w:lineRule="exact"/>
        <w:ind w:leftChars="200"/>
        <w:rPr>
          <w:rFonts w:ascii="宋体" w:hAnsi="宋体"/>
          <w:szCs w:val="21"/>
          <w:highlight w:val="none"/>
          <w:u w:val="single"/>
        </w:rPr>
      </w:pPr>
      <w:r>
        <w:rPr>
          <w:rFonts w:hint="eastAsia" w:ascii="宋体" w:hAnsi="宋体"/>
          <w:b/>
          <w:bCs w:val="0"/>
          <w:sz w:val="21"/>
          <w:szCs w:val="21"/>
          <w:lang w:val="en-US" w:eastAsia="zh-CN"/>
        </w:rPr>
        <w:t>泵送：</w:t>
      </w:r>
      <w:r>
        <w:rPr>
          <w:rFonts w:hint="eastAsia" w:ascii="宋体" w:hAnsi="宋体"/>
          <w:szCs w:val="21"/>
          <w:highlight w:val="none"/>
        </w:rPr>
        <w:t>人民币（大写）</w:t>
      </w:r>
      <w:r>
        <w:rPr>
          <w:rFonts w:hint="eastAsia" w:ascii="宋体" w:hAnsi="宋体"/>
          <w:szCs w:val="21"/>
          <w:highlight w:val="none"/>
          <w:lang w:eastAsia="zh-CN"/>
        </w:rPr>
        <w:t>：</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pPr>
        <w:numPr>
          <w:ilvl w:val="0"/>
          <w:numId w:val="0"/>
        </w:numPr>
        <w:spacing w:line="400" w:lineRule="exact"/>
        <w:ind w:leftChars="200"/>
        <w:rPr>
          <w:rFonts w:hint="eastAsia" w:ascii="宋体" w:hAnsi="宋体"/>
          <w:szCs w:val="21"/>
        </w:rPr>
      </w:pPr>
      <w:r>
        <w:rPr>
          <w:rFonts w:hint="eastAsia" w:ascii="宋体" w:hAnsi="宋体"/>
          <w:szCs w:val="21"/>
          <w:highlight w:val="none"/>
        </w:rPr>
        <w:t>的价格，</w:t>
      </w:r>
      <w:r>
        <w:rPr>
          <w:rFonts w:hint="eastAsia" w:ascii="宋体" w:hAnsi="宋体"/>
          <w:szCs w:val="21"/>
        </w:rPr>
        <w:t>承担本招标范围内的全部服务项目，我方承担一切风险、义务、责任等所发生的费用。</w:t>
      </w:r>
    </w:p>
    <w:p>
      <w:pPr>
        <w:spacing w:line="400" w:lineRule="exact"/>
        <w:ind w:firstLine="420" w:firstLineChars="200"/>
        <w:rPr>
          <w:rFonts w:ascii="宋体" w:hAnsi="宋体"/>
          <w:szCs w:val="21"/>
        </w:rPr>
      </w:pPr>
      <w:r>
        <w:rPr>
          <w:rFonts w:hint="eastAsia" w:ascii="宋体" w:hAnsi="宋体"/>
          <w:szCs w:val="21"/>
        </w:rPr>
        <w:t>2.我方</w:t>
      </w:r>
      <w:r>
        <w:rPr>
          <w:rFonts w:hint="eastAsia"/>
          <w:szCs w:val="21"/>
        </w:rPr>
        <w:t>服务期限为：</w:t>
      </w:r>
      <w:r>
        <w:rPr>
          <w:rFonts w:hint="eastAsia"/>
          <w:szCs w:val="21"/>
          <w:u w:val="single"/>
        </w:rPr>
        <w:t xml:space="preserve">               </w:t>
      </w:r>
      <w:r>
        <w:rPr>
          <w:rFonts w:hint="eastAsia"/>
          <w:szCs w:val="21"/>
        </w:rPr>
        <w:t>。</w:t>
      </w:r>
    </w:p>
    <w:p>
      <w:pPr>
        <w:spacing w:line="4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我方的投标文件包含第二章“投标人须知”第</w:t>
      </w:r>
      <w:r>
        <w:rPr>
          <w:rFonts w:ascii="宋体" w:hAnsi="宋体"/>
          <w:szCs w:val="21"/>
        </w:rPr>
        <w:t>3.1</w:t>
      </w:r>
      <w:r>
        <w:rPr>
          <w:rFonts w:hint="eastAsia" w:ascii="宋体" w:hAnsi="宋体"/>
          <w:szCs w:val="21"/>
        </w:rPr>
        <w:t>款规定的全部内容。</w:t>
      </w:r>
    </w:p>
    <w:p>
      <w:pPr>
        <w:spacing w:line="400" w:lineRule="exact"/>
        <w:ind w:firstLine="420" w:firstLineChars="200"/>
        <w:rPr>
          <w:rFonts w:ascii="宋体"/>
          <w:szCs w:val="21"/>
        </w:rPr>
      </w:pPr>
      <w:r>
        <w:rPr>
          <w:rFonts w:hint="eastAsia" w:ascii="宋体" w:hAnsi="宋体"/>
          <w:szCs w:val="21"/>
        </w:rPr>
        <w:t>4</w:t>
      </w:r>
      <w:r>
        <w:rPr>
          <w:rFonts w:ascii="宋体" w:hAnsi="宋体"/>
          <w:szCs w:val="21"/>
        </w:rPr>
        <w:t>.</w:t>
      </w:r>
      <w:r>
        <w:rPr>
          <w:rFonts w:hint="eastAsia" w:ascii="宋体" w:hAnsi="宋体"/>
          <w:szCs w:val="21"/>
        </w:rPr>
        <w:t>我方承诺在招标文件规定的投标有效期3</w:t>
      </w:r>
      <w:r>
        <w:rPr>
          <w:rFonts w:ascii="宋体" w:hAnsi="宋体"/>
          <w:szCs w:val="21"/>
        </w:rPr>
        <w:t>0</w:t>
      </w:r>
      <w:r>
        <w:rPr>
          <w:rFonts w:hint="eastAsia" w:ascii="宋体" w:hAnsi="宋体"/>
          <w:szCs w:val="21"/>
        </w:rPr>
        <w:t>日历天（从投标截止之日算起）内不修改、撤销投标文件。</w:t>
      </w:r>
    </w:p>
    <w:p>
      <w:pPr>
        <w:spacing w:line="400" w:lineRule="exact"/>
        <w:ind w:firstLine="420" w:firstLineChars="200"/>
        <w:rPr>
          <w:rFonts w:ascii="宋体"/>
          <w:szCs w:val="21"/>
        </w:rPr>
      </w:pPr>
      <w:r>
        <w:rPr>
          <w:rFonts w:hint="eastAsia" w:ascii="宋体" w:hAnsi="宋体"/>
          <w:szCs w:val="21"/>
        </w:rPr>
        <w:t>5</w:t>
      </w:r>
      <w:r>
        <w:rPr>
          <w:rFonts w:ascii="宋体" w:hAnsi="宋体"/>
          <w:szCs w:val="21"/>
        </w:rPr>
        <w:t>.</w:t>
      </w:r>
      <w:r>
        <w:rPr>
          <w:rFonts w:hint="eastAsia" w:ascii="宋体" w:hAnsi="宋体"/>
          <w:szCs w:val="21"/>
        </w:rPr>
        <w:t>我方在评标过程中根据评标委员会要求提供的符合相关规定的澄清文件，构成投标文件的组成部分。</w:t>
      </w:r>
    </w:p>
    <w:p>
      <w:pPr>
        <w:spacing w:line="400" w:lineRule="exact"/>
        <w:ind w:firstLine="420" w:firstLineChars="200"/>
        <w:rPr>
          <w:rFonts w:ascii="宋体"/>
          <w:szCs w:val="21"/>
        </w:rPr>
      </w:pPr>
      <w:r>
        <w:rPr>
          <w:rFonts w:hint="eastAsia" w:ascii="宋体" w:hAnsi="宋体"/>
          <w:szCs w:val="21"/>
        </w:rPr>
        <w:t>6</w:t>
      </w:r>
      <w:r>
        <w:rPr>
          <w:rFonts w:ascii="宋体" w:hAnsi="宋体"/>
          <w:szCs w:val="21"/>
        </w:rPr>
        <w:t>.</w:t>
      </w:r>
      <w:r>
        <w:rPr>
          <w:rFonts w:hint="eastAsia" w:ascii="宋体" w:hAnsi="宋体"/>
          <w:szCs w:val="21"/>
        </w:rPr>
        <w:t>我方同意提供贵方可能要求的与投标有关的一切数据或者资料，并完全理解贵方不一定接受最低价的投标。</w:t>
      </w:r>
    </w:p>
    <w:p>
      <w:pPr>
        <w:spacing w:line="400" w:lineRule="exact"/>
        <w:ind w:firstLine="420" w:firstLineChars="200"/>
        <w:rPr>
          <w:rFonts w:ascii="宋体"/>
          <w:szCs w:val="21"/>
        </w:rPr>
      </w:pPr>
      <w:r>
        <w:rPr>
          <w:rFonts w:hint="eastAsia" w:ascii="宋体" w:hAnsi="宋体"/>
          <w:szCs w:val="21"/>
        </w:rPr>
        <w:t>7</w:t>
      </w:r>
      <w:r>
        <w:rPr>
          <w:rFonts w:ascii="宋体" w:hAnsi="宋体"/>
          <w:szCs w:val="21"/>
        </w:rPr>
        <w:t>.</w:t>
      </w:r>
      <w:r>
        <w:rPr>
          <w:rFonts w:hint="eastAsia" w:ascii="宋体" w:hAnsi="宋体"/>
          <w:szCs w:val="21"/>
        </w:rPr>
        <w:t>我方承诺不向第三方透露与招标相关的所有信息。</w:t>
      </w:r>
    </w:p>
    <w:p>
      <w:pPr>
        <w:spacing w:line="400" w:lineRule="exact"/>
        <w:ind w:firstLine="420" w:firstLineChars="200"/>
        <w:rPr>
          <w:rFonts w:ascii="宋体"/>
          <w:szCs w:val="21"/>
        </w:rPr>
      </w:pPr>
      <w:r>
        <w:rPr>
          <w:rFonts w:hint="eastAsia" w:ascii="宋体" w:hAnsi="宋体"/>
          <w:szCs w:val="21"/>
        </w:rPr>
        <w:t>8</w:t>
      </w:r>
      <w:r>
        <w:rPr>
          <w:rFonts w:ascii="宋体" w:hAnsi="宋体"/>
          <w:szCs w:val="21"/>
        </w:rPr>
        <w:t>.</w:t>
      </w:r>
      <w:r>
        <w:rPr>
          <w:rFonts w:hint="eastAsia" w:ascii="宋体" w:hAnsi="宋体"/>
          <w:szCs w:val="21"/>
        </w:rPr>
        <w:t>如我方中标：</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）我方承诺在收到中标通知书后，在中标通知书规定的期限内与你方签订合同。</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）按照招标文件的规定及合同约定履行相关责任和义务。</w:t>
      </w:r>
    </w:p>
    <w:p>
      <w:pPr>
        <w:spacing w:line="400" w:lineRule="exact"/>
        <w:ind w:firstLine="420" w:firstLineChars="200"/>
        <w:rPr>
          <w:rFonts w:ascii="宋体"/>
          <w:szCs w:val="21"/>
        </w:rPr>
      </w:pPr>
      <w:r>
        <w:rPr>
          <w:rFonts w:hint="eastAsia" w:ascii="宋体" w:hAnsi="宋体"/>
          <w:szCs w:val="21"/>
        </w:rPr>
        <w:t>我方在此声明，所递交的投标文件及有关资料内容完整、真实和准确，且不存在第二章“投标人须知”第</w:t>
      </w:r>
      <w:r>
        <w:rPr>
          <w:rFonts w:ascii="宋体" w:hAnsi="宋体"/>
          <w:szCs w:val="21"/>
        </w:rPr>
        <w:t>1.8</w:t>
      </w:r>
      <w:r>
        <w:rPr>
          <w:rFonts w:hint="eastAsia" w:ascii="宋体" w:hAnsi="宋体"/>
          <w:szCs w:val="21"/>
        </w:rPr>
        <w:t>款规定的任何一种情形。如有弄虚作假，将承担相应的法律责任，并赔偿由此造成的一切损失。</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spacing w:line="400" w:lineRule="exact"/>
        <w:rPr>
          <w:rFonts w:ascii="宋体"/>
          <w:szCs w:val="21"/>
          <w:u w:val="single"/>
        </w:rPr>
      </w:pPr>
      <w:r>
        <w:rPr>
          <w:rFonts w:ascii="宋体" w:hAnsi="宋体"/>
          <w:szCs w:val="21"/>
        </w:rPr>
        <w:t xml:space="preserve">                             </w:t>
      </w:r>
      <w:r>
        <w:rPr>
          <w:rFonts w:hint="eastAsia" w:ascii="宋体" w:hAnsi="宋体"/>
          <w:szCs w:val="21"/>
        </w:rPr>
        <w:t xml:space="preserve"> 地址：</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邮政编码：</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电话：</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电子邮箱：</w:t>
      </w:r>
      <w:r>
        <w:rPr>
          <w:rFonts w:ascii="宋体" w:hAnsi="宋体"/>
          <w:szCs w:val="21"/>
          <w:u w:val="single"/>
        </w:rPr>
        <w:t xml:space="preserve">                                 </w:t>
      </w:r>
    </w:p>
    <w:p>
      <w:pPr>
        <w:spacing w:line="400" w:lineRule="exact"/>
        <w:rPr>
          <w:rFonts w:hint="eastAsia"/>
        </w:rPr>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400" w:lineRule="exact"/>
        <w:rPr>
          <w:rFonts w:hint="eastAsia"/>
        </w:rPr>
      </w:pPr>
    </w:p>
    <w:p>
      <w:pPr>
        <w:pStyle w:val="2"/>
        <w:snapToGrid w:val="0"/>
        <w:spacing w:before="240" w:after="120" w:line="240" w:lineRule="auto"/>
        <w:jc w:val="center"/>
        <w:rPr>
          <w:rFonts w:hint="eastAsia" w:ascii="宋体" w:hAnsi="宋体" w:eastAsia="宋体" w:cs="宋体"/>
          <w:bCs w:val="0"/>
          <w:sz w:val="24"/>
          <w:szCs w:val="24"/>
        </w:rPr>
      </w:pPr>
      <w:bookmarkStart w:id="530" w:name="_Toc19420"/>
    </w:p>
    <w:p>
      <w:pPr>
        <w:rPr>
          <w:rFonts w:hint="eastAsia" w:ascii="宋体" w:hAnsi="宋体" w:eastAsia="宋体" w:cs="宋体"/>
          <w:bCs w:val="0"/>
          <w:sz w:val="24"/>
          <w:szCs w:val="24"/>
        </w:rPr>
      </w:pPr>
    </w:p>
    <w:p>
      <w:pPr>
        <w:pStyle w:val="2"/>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2"/>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2"/>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2"/>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2"/>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2"/>
        <w:rPr>
          <w:rFonts w:hint="eastAsia"/>
        </w:rPr>
      </w:pPr>
    </w:p>
    <w:p>
      <w:pPr>
        <w:rPr>
          <w:rFonts w:hint="eastAsia" w:ascii="宋体" w:hAnsi="宋体" w:eastAsia="宋体" w:cs="宋体"/>
          <w:bCs w:val="0"/>
          <w:sz w:val="24"/>
          <w:szCs w:val="24"/>
        </w:rPr>
      </w:pPr>
    </w:p>
    <w:p>
      <w:pPr>
        <w:pStyle w:val="2"/>
        <w:rPr>
          <w:rFonts w:hint="eastAsia" w:ascii="宋体" w:hAnsi="宋体" w:eastAsia="宋体" w:cs="宋体"/>
          <w:bCs w:val="0"/>
          <w:sz w:val="24"/>
          <w:szCs w:val="24"/>
        </w:rPr>
      </w:pPr>
    </w:p>
    <w:p>
      <w:pPr>
        <w:rPr>
          <w:rFonts w:hint="eastAsia"/>
        </w:rPr>
      </w:pPr>
    </w:p>
    <w:p>
      <w:pPr>
        <w:pStyle w:val="2"/>
        <w:snapToGrid w:val="0"/>
        <w:spacing w:before="240" w:after="120" w:line="240" w:lineRule="auto"/>
        <w:jc w:val="center"/>
        <w:rPr>
          <w:rFonts w:hint="eastAsia" w:ascii="宋体" w:hAnsi="宋体" w:eastAsia="宋体" w:cs="宋体"/>
          <w:bCs w:val="0"/>
          <w:sz w:val="24"/>
          <w:szCs w:val="24"/>
        </w:rPr>
      </w:pPr>
    </w:p>
    <w:p>
      <w:pPr>
        <w:pStyle w:val="2"/>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二、法定代表人身份证明</w:t>
      </w:r>
      <w:bookmarkEnd w:id="530"/>
    </w:p>
    <w:p>
      <w:pPr>
        <w:spacing w:line="440" w:lineRule="exact"/>
        <w:rPr>
          <w:rFonts w:ascii="宋体"/>
          <w:szCs w:val="21"/>
        </w:rPr>
      </w:pPr>
    </w:p>
    <w:p>
      <w:pPr>
        <w:topLinePunct/>
        <w:snapToGrid w:val="0"/>
        <w:spacing w:line="440" w:lineRule="exact"/>
        <w:rPr>
          <w:rFonts w:ascii="宋体" w:hAnsi="宋体"/>
          <w:bCs/>
          <w:szCs w:val="21"/>
          <w:u w:val="single"/>
        </w:rPr>
      </w:pPr>
      <w:r>
        <w:rPr>
          <w:rFonts w:hint="eastAsia" w:ascii="宋体" w:hAnsi="宋体"/>
          <w:bCs/>
          <w:szCs w:val="21"/>
        </w:rPr>
        <w:t>投标人名称：</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单位性质：</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成立时间：</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ascii="宋体"/>
          <w:bCs/>
          <w:szCs w:val="21"/>
        </w:rPr>
      </w:pPr>
      <w:r>
        <w:rPr>
          <w:rFonts w:hint="eastAsia" w:ascii="宋体" w:hAnsi="宋体"/>
          <w:bCs/>
          <w:szCs w:val="21"/>
        </w:rPr>
        <w:t>经营期限：</w:t>
      </w:r>
      <w:r>
        <w:rPr>
          <w:rFonts w:ascii="宋体" w:hAnsi="宋体"/>
          <w:bCs/>
          <w:szCs w:val="21"/>
          <w:u w:val="single"/>
        </w:rPr>
        <w:t xml:space="preserve">            </w:t>
      </w:r>
    </w:p>
    <w:p>
      <w:pPr>
        <w:topLinePunct/>
        <w:snapToGrid w:val="0"/>
        <w:spacing w:line="440" w:lineRule="exact"/>
        <w:rPr>
          <w:rFonts w:ascii="宋体"/>
          <w:bCs/>
          <w:szCs w:val="21"/>
          <w:u w:val="single"/>
        </w:rPr>
      </w:pPr>
      <w:r>
        <w:rPr>
          <w:rFonts w:hint="eastAsia" w:ascii="宋体" w:hAnsi="宋体"/>
          <w:bCs/>
          <w:szCs w:val="21"/>
        </w:rPr>
        <w:t>姓名：</w:t>
      </w:r>
      <w:r>
        <w:rPr>
          <w:rFonts w:ascii="宋体" w:hAnsi="宋体"/>
          <w:bCs/>
          <w:szCs w:val="21"/>
          <w:u w:val="single"/>
        </w:rPr>
        <w:t xml:space="preserve">         </w:t>
      </w:r>
      <w:r>
        <w:rPr>
          <w:rFonts w:hint="eastAsia" w:ascii="宋体" w:hAnsi="宋体"/>
          <w:bCs/>
          <w:szCs w:val="21"/>
        </w:rPr>
        <w:t>性别：</w:t>
      </w:r>
      <w:r>
        <w:rPr>
          <w:rFonts w:ascii="宋体" w:hAnsi="宋体"/>
          <w:bCs/>
          <w:szCs w:val="21"/>
          <w:u w:val="single"/>
        </w:rPr>
        <w:t xml:space="preserve">          </w:t>
      </w:r>
      <w:r>
        <w:rPr>
          <w:rFonts w:hint="eastAsia" w:ascii="宋体" w:hAnsi="宋体"/>
          <w:bCs/>
          <w:szCs w:val="21"/>
        </w:rPr>
        <w:t>年龄：</w:t>
      </w:r>
      <w:r>
        <w:rPr>
          <w:rFonts w:ascii="宋体" w:hAnsi="宋体"/>
          <w:bCs/>
          <w:szCs w:val="21"/>
          <w:u w:val="single"/>
        </w:rPr>
        <w:t xml:space="preserve">         </w:t>
      </w:r>
      <w:r>
        <w:rPr>
          <w:rFonts w:hint="eastAsia" w:ascii="宋体" w:hAnsi="宋体"/>
          <w:bCs/>
          <w:szCs w:val="21"/>
        </w:rPr>
        <w:t>职务：</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系</w:t>
      </w:r>
      <w:r>
        <w:rPr>
          <w:rFonts w:ascii="宋体" w:hAnsi="宋体"/>
          <w:bCs/>
          <w:szCs w:val="21"/>
          <w:u w:val="single"/>
        </w:rPr>
        <w:t xml:space="preserve">                   </w:t>
      </w:r>
      <w:r>
        <w:rPr>
          <w:rFonts w:hint="eastAsia" w:ascii="宋体" w:hAnsi="宋体"/>
          <w:bCs/>
          <w:szCs w:val="21"/>
        </w:rPr>
        <w:t>（投标人名称）的法定代表人。</w:t>
      </w:r>
    </w:p>
    <w:p>
      <w:pPr>
        <w:topLinePunct/>
        <w:snapToGrid w:val="0"/>
        <w:spacing w:line="440" w:lineRule="exact"/>
        <w:ind w:firstLine="420" w:firstLineChars="200"/>
        <w:rPr>
          <w:rFonts w:ascii="宋体"/>
          <w:bCs/>
          <w:szCs w:val="21"/>
        </w:rPr>
      </w:pPr>
      <w:r>
        <w:rPr>
          <w:rFonts w:hint="eastAsia" w:ascii="宋体" w:hAnsi="宋体"/>
          <w:bCs/>
          <w:szCs w:val="21"/>
        </w:rPr>
        <w:t>特此证明。</w:t>
      </w:r>
    </w:p>
    <w:p>
      <w:pPr>
        <w:topLinePunct/>
        <w:snapToGrid w:val="0"/>
        <w:spacing w:line="440" w:lineRule="exact"/>
        <w:ind w:firstLine="420" w:firstLineChars="200"/>
        <w:rPr>
          <w:rFonts w:ascii="宋体"/>
          <w:bCs/>
          <w:szCs w:val="21"/>
        </w:rPr>
      </w:pPr>
    </w:p>
    <w:p>
      <w:pPr>
        <w:topLinePunct/>
        <w:snapToGrid w:val="0"/>
        <w:spacing w:line="440" w:lineRule="exact"/>
        <w:rPr>
          <w:rFonts w:ascii="宋体"/>
        </w:rPr>
      </w:pPr>
      <w:r>
        <w:rPr>
          <w:rFonts w:hint="eastAsia" w:ascii="宋体" w:hAnsi="宋体"/>
        </w:rPr>
        <w:t>附：法定代表人身份证复印件</w:t>
      </w:r>
    </w:p>
    <w:p>
      <w:pPr>
        <w:spacing w:line="500" w:lineRule="exact"/>
        <w:rPr>
          <w:rFonts w:ascii="宋体"/>
          <w:szCs w:val="21"/>
        </w:rPr>
      </w:pPr>
      <w: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法定代表人身份证国徽面</w:t>
                            </w:r>
                          </w:p>
                        </w:txbxContent>
                      </wps:txbx>
                      <wps:bodyPr wrap="square" upright="1"/>
                    </wps:wsp>
                  </a:graphicData>
                </a:graphic>
              </wp:anchor>
            </w:drawing>
          </mc:Choice>
          <mc:Fallback>
            <w:pict>
              <v:shape id="流程图: 可选过程 4" o:spid="_x0000_s1026" o:spt="176" type="#_x0000_t176" style="position:absolute;left:0pt;margin-left:208.3pt;margin-top:18.8pt;height:166.45pt;width:259.65pt;z-index:251661312;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cFYdhjMCAABeBAAADgAAAGRycy9lMm9Eb2MueG1srVTN&#10;jtMwEL4j8Q6W7zRNS4FGTVdoS7kgqLTwAFPHSSz5D9tt2hucEOKwD8ALcOPEFZ5m+XkLxk7p/sBh&#10;D+SQjO2Zb+b7ZpzZyU5JsuXOC6NLmg+GlHDNTCV0U9JXL5f3HlHiA+gKpNG8pHvu6cn87p1ZZws+&#10;Mq2RFXcEQbQvOlvSNgRbZJlnLVfgB8ZyjYe1cQoCLl2TVQ46RFcyGw2HD7LOuMo6w7j3uLvoD+kB&#10;0d0G0NS1YHxh2EZxHXpUxyUEpORbYT2dp2rrmrPwoq49D0SWFJmG9MYkaK/jO5vPoGgc2FawQwlw&#10;mxJucFIgNCY9Qi0gANk48ReUEswZb+owYEZlPZGkCLLIhze0OWvB8sQFpfb2KLr/f7Ds+XbliKhK&#10;OqZEg8KGf//y9senDxcfvxbk4vzzrzfvf357hxvkfhSrs77AmDO7coeVRzMy39VOxS9yIrsk8P4o&#10;MN8FwnBzPJo+nEwmlDA8G+X5eJpPImp2GW6dD0+5USQaJa2l6U5bcOGxDNxpCHzVj05SG7bPfOjj&#10;/8TFEryRoloKKdPCNetT6cgWcASW6TmkvOYmNelKOp2MYnWAc13jPKGpLGrjdZPyXYvwV4GH6fkX&#10;cCxsAb7tC0gI0Q0KJZBRsloO1RNdkbC3qL/Ga0djMYpXlEiOtzRayTOAkLfxREGlRl1ju/oGRSvs&#10;1juEiebaVHtsfIeTj/Reb8Bhzo11omlR9TwRiX44dqk9hysS5/rqOqW4/C3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AiX42AAAAAoBAAAPAAAAAAAAAAEAIAAAACIAAABkcnMvZG93bnJldi54&#10;bWxQSwECFAAUAAAACACHTuJAcFYdhjMCAABeBAAADgAAAAAAAAABACAAAAAnAQAAZHJzL2Uyb0Rv&#10;Yy54bWxQSwUGAAAAAAYABgBZAQAAzAUAAAAA&#10;">
                <v:fill on="t" focussize="0,0"/>
                <v:stroke color="#000000" joinstyle="miter"/>
                <v:imagedata o:title=""/>
                <o:lock v:ext="edit" aspectratio="f"/>
                <v:textbox>
                  <w:txbxContent>
                    <w:p>
                      <w:pPr>
                        <w:jc w:val="center"/>
                        <w:rPr>
                          <w:szCs w:val="21"/>
                        </w:rPr>
                      </w:pPr>
                      <w:r>
                        <w:rPr>
                          <w:rFonts w:hint="eastAsia"/>
                          <w:szCs w:val="21"/>
                        </w:rPr>
                        <w:t>法定代表人身份证国徽面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法定代表人身份证人像面</w:t>
                            </w:r>
                          </w:p>
                        </w:txbxContent>
                      </wps:txbx>
                      <wps:bodyPr wrap="square" upright="1"/>
                    </wps:wsp>
                  </a:graphicData>
                </a:graphic>
              </wp:anchor>
            </w:drawing>
          </mc:Choice>
          <mc:Fallback>
            <w:pict>
              <v:shape id="流程图: 可选过程 3"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hZK80yAgAAXgQAAA4AAABkcnMvZTJvRG9jLnhtbK1U&#10;y67TMBDdI/EPlvc0TaoCjZpeoVvKBkGlCx8wTZzEkl/YbpPuYIUQCz6AH2DHii18zeXxF4yd0vuA&#10;RRdkkYztmTNzzowzP+ulIDtmHdeqoOloTAlTpa64agr68sXq3kNKnAdVgdCKFXTPHD1b3L0z70zO&#10;Mt1qUTFLEES5vDMFbb03eZK4smUS3EgbpvCw1laCx6VtkspCh+hSJNl4fD/ptK2M1SVzDneXwyE9&#10;INpTAHVd85ItdbmVTPkB1TIBHim5lhtHF7Haumalf17XjnkiCopMfXxjErQ34Z0s5pA3FkzLy0MJ&#10;cEoJtzhJ4AqTHqGW4IFsLf8LSvLSaqdrPyq1TAYiURFkkY5vaXPRgmGRC0rtzFF09/9gy2e7tSW8&#10;KmhGiQKJDf/+5c2PT+8vP37NyeWHz79ev/v57S1ukEkQqzMux5gLs7aHlUMzMO9rK8MXOZE+Crw/&#10;Csx6T0rcnGSzB9PplJISz7I0nczSaUBNrsKNdf4J05IEo6C10N15C9Y/Ep5ZBZ6th9GJasPuqfND&#10;/J+4UILTglcrLkRc2GZzLizZAY7AKj6HlDfchCJdQWfTLFQHONc1zhOa0qA2TjUx340Idx14HJ9/&#10;AYfCluDaoYCIENwglxwZRatlUD1WFfF7g/orvHY0FCNZRYlgeEuDFT09cHGKJwoqFOoa2jU0KFi+&#10;3/QIE8yNrvbY+A4nH+m92oLFnFtjedOi6mkkEvxw7GJ7DlckzPX1dUxx9V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Aglc2QAAAAsBAAAPAAAAAAAAAAEAIAAAACIAAABkcnMvZG93bnJldi54&#10;bWxQSwECFAAUAAAACACHTuJACFkrzTICAABeBAAADgAAAAAAAAABACAAAAAoAQAAZHJzL2Uyb0Rv&#10;Yy54bWxQSwUGAAAAAAYABgBZAQAAzAUAAAAA&#10;">
                <v:fill on="t" focussize="0,0"/>
                <v:stroke color="#000000" joinstyle="miter"/>
                <v:imagedata o:title=""/>
                <o:lock v:ext="edit" aspectratio="f"/>
                <v:textbox>
                  <w:txbxContent>
                    <w:p>
                      <w:pPr>
                        <w:jc w:val="center"/>
                        <w:rPr>
                          <w:szCs w:val="21"/>
                        </w:rPr>
                      </w:pPr>
                      <w:r>
                        <w:rPr>
                          <w:rFonts w:hint="eastAsia"/>
                          <w:szCs w:val="21"/>
                        </w:rPr>
                        <w:t>法定代表人身份证人像面</w:t>
                      </w:r>
                    </w:p>
                  </w:txbxContent>
                </v:textbox>
              </v:shape>
            </w:pict>
          </mc:Fallback>
        </mc:AlternateContent>
      </w: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ind w:firstLine="4305" w:firstLineChars="2050"/>
        <w:rPr>
          <w:rFonts w:ascii="宋体"/>
          <w:szCs w:val="21"/>
        </w:rPr>
      </w:pPr>
    </w:p>
    <w:p>
      <w:pPr>
        <w:spacing w:line="440" w:lineRule="exact"/>
        <w:ind w:firstLine="4305" w:firstLineChars="2050"/>
        <w:rPr>
          <w:rFonts w:ascii="宋体"/>
          <w:szCs w:val="21"/>
        </w:rPr>
      </w:pPr>
      <w:r>
        <w:rPr>
          <w:rFonts w:hint="eastAsia" w:ascii="宋体" w:hAnsi="宋体"/>
          <w:szCs w:val="21"/>
        </w:rPr>
        <w:t>投标人名称：</w:t>
      </w:r>
      <w:r>
        <w:rPr>
          <w:rFonts w:ascii="宋体" w:hAnsi="宋体"/>
          <w:szCs w:val="21"/>
          <w:u w:val="single"/>
        </w:rPr>
        <w:t xml:space="preserve">               </w:t>
      </w:r>
      <w:r>
        <w:rPr>
          <w:rFonts w:hint="eastAsia" w:ascii="宋体" w:hAnsi="宋体"/>
          <w:szCs w:val="21"/>
        </w:rPr>
        <w:t>（盖单位公章）</w:t>
      </w:r>
    </w:p>
    <w:p>
      <w:pPr>
        <w:spacing w:line="440" w:lineRule="exact"/>
        <w:ind w:firstLine="4305" w:firstLineChars="2050"/>
        <w:rPr>
          <w:rFonts w:asci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2"/>
        <w:snapToGrid w:val="0"/>
        <w:spacing w:before="240" w:after="120" w:line="240" w:lineRule="auto"/>
        <w:jc w:val="center"/>
        <w:rPr>
          <w:rFonts w:ascii="宋体" w:hAnsi="宋体" w:eastAsia="宋体" w:cs="宋体"/>
          <w:bCs w:val="0"/>
          <w:sz w:val="24"/>
          <w:szCs w:val="24"/>
        </w:rPr>
      </w:pPr>
      <w:bookmarkStart w:id="531" w:name="_Toc6694"/>
      <w:r>
        <w:rPr>
          <w:rFonts w:hint="eastAsia" w:ascii="宋体" w:hAnsi="宋体" w:eastAsia="宋体" w:cs="宋体"/>
          <w:bCs w:val="0"/>
          <w:sz w:val="24"/>
          <w:szCs w:val="24"/>
        </w:rPr>
        <w:t>三、法定代表人授权委托书</w:t>
      </w:r>
      <w:bookmarkEnd w:id="531"/>
    </w:p>
    <w:p>
      <w:pPr>
        <w:jc w:val="center"/>
        <w:rPr>
          <w:rFonts w:ascii="宋体" w:cs="宋体"/>
          <w:b/>
          <w:sz w:val="24"/>
        </w:rPr>
      </w:pPr>
    </w:p>
    <w:p>
      <w:pPr>
        <w:topLinePunct/>
        <w:snapToGrid w:val="0"/>
        <w:spacing w:line="440" w:lineRule="exact"/>
        <w:ind w:firstLine="420" w:firstLineChars="200"/>
        <w:rPr>
          <w:rFonts w:ascii="宋体"/>
          <w:bCs/>
          <w:szCs w:val="21"/>
        </w:rPr>
      </w:pPr>
      <w:r>
        <w:rPr>
          <w:rFonts w:hint="eastAsia" w:ascii="宋体" w:hAnsi="宋体"/>
          <w:bCs/>
          <w:szCs w:val="21"/>
        </w:rPr>
        <w:t>本人</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系</w:t>
      </w:r>
      <w:r>
        <w:rPr>
          <w:rFonts w:ascii="宋体" w:hAnsi="宋体"/>
          <w:bCs/>
          <w:szCs w:val="21"/>
        </w:rPr>
        <w:t xml:space="preserve"> </w:t>
      </w:r>
      <w:r>
        <w:rPr>
          <w:rFonts w:ascii="宋体" w:hAnsi="宋体"/>
          <w:bCs/>
          <w:szCs w:val="21"/>
          <w:u w:val="single"/>
        </w:rPr>
        <w:t xml:space="preserve">    </w:t>
      </w:r>
      <w:r>
        <w:rPr>
          <w:rFonts w:hint="eastAsia" w:ascii="宋体" w:hAnsi="宋体"/>
          <w:bCs/>
          <w:szCs w:val="21"/>
          <w:u w:val="single"/>
        </w:rPr>
        <w:t>（投标人名称）</w:t>
      </w:r>
      <w:r>
        <w:rPr>
          <w:rFonts w:ascii="宋体" w:hAnsi="宋体"/>
          <w:bCs/>
          <w:szCs w:val="21"/>
          <w:u w:val="single"/>
        </w:rPr>
        <w:t xml:space="preserve">   </w:t>
      </w:r>
      <w:r>
        <w:rPr>
          <w:rFonts w:hint="eastAsia" w:ascii="宋体" w:hAnsi="宋体"/>
          <w:bCs/>
          <w:szCs w:val="21"/>
        </w:rPr>
        <w:t>的法定代表人，现委托</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为我方代理人。代理人根据授权，以我方名义全权处理</w:t>
      </w:r>
      <w:r>
        <w:rPr>
          <w:rFonts w:hint="eastAsia" w:ascii="宋体" w:hAnsi="宋体" w:cs="宋体"/>
          <w:bCs/>
          <w:szCs w:val="21"/>
          <w:u w:val="single"/>
        </w:rPr>
        <w:t>S103济枣线山亭区凫城至市中区曾店段改建工程商品混凝土采购</w:t>
      </w:r>
      <w:r>
        <w:rPr>
          <w:rFonts w:hint="eastAsia" w:ascii="宋体" w:hAnsi="宋体"/>
          <w:bCs/>
          <w:szCs w:val="21"/>
          <w:u w:val="single"/>
        </w:rPr>
        <w:t>（签署、澄清、说明、补正、递交、撤回、修改投标文件，签订合同和处理一切有关事宜）</w:t>
      </w:r>
      <w:r>
        <w:rPr>
          <w:rFonts w:hint="eastAsia" w:ascii="宋体" w:hAnsi="宋体"/>
          <w:bCs/>
          <w:szCs w:val="21"/>
        </w:rPr>
        <w:t>，其法律后果由我方承担。</w:t>
      </w:r>
    </w:p>
    <w:p>
      <w:pPr>
        <w:topLinePunct/>
        <w:snapToGrid w:val="0"/>
        <w:spacing w:line="440" w:lineRule="exact"/>
        <w:ind w:firstLine="420" w:firstLineChars="200"/>
        <w:rPr>
          <w:rFonts w:ascii="宋体"/>
          <w:bCs/>
          <w:szCs w:val="21"/>
        </w:rPr>
      </w:pPr>
      <w:r>
        <w:rPr>
          <w:rFonts w:hint="eastAsia" w:ascii="宋体" w:hAnsi="宋体"/>
          <w:bCs/>
          <w:szCs w:val="21"/>
        </w:rPr>
        <w:t>委托期限：</w:t>
      </w:r>
      <w:r>
        <w:rPr>
          <w:rFonts w:hint="eastAsia" w:ascii="宋体" w:hAnsi="宋体"/>
          <w:bCs/>
          <w:szCs w:val="21"/>
          <w:u w:val="single"/>
        </w:rPr>
        <w:t>自签署本委托书之日起</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日</w:t>
      </w:r>
      <w:r>
        <w:rPr>
          <w:rFonts w:hint="eastAsia" w:ascii="宋体" w:hAnsi="宋体"/>
          <w:bCs/>
          <w:szCs w:val="21"/>
        </w:rPr>
        <w:t>。</w:t>
      </w:r>
    </w:p>
    <w:p>
      <w:pPr>
        <w:topLinePunct/>
        <w:snapToGrid w:val="0"/>
        <w:spacing w:line="440" w:lineRule="exact"/>
        <w:ind w:firstLine="420" w:firstLineChars="200"/>
        <w:rPr>
          <w:rFonts w:ascii="宋体"/>
          <w:bCs/>
          <w:szCs w:val="21"/>
        </w:rPr>
      </w:pPr>
      <w:r>
        <w:rPr>
          <w:rFonts w:hint="eastAsia" w:ascii="宋体" w:hAnsi="宋体"/>
          <w:bCs/>
          <w:szCs w:val="21"/>
        </w:rPr>
        <w:t>代理人无转委托权。</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r>
        <w:rPr>
          <w:rFonts w:hint="eastAsia" w:ascii="宋体" w:hAnsi="宋体"/>
          <w:bCs/>
          <w:szCs w:val="21"/>
        </w:rPr>
        <w:t>附：授权委托人身份证复印件</w:t>
      </w:r>
    </w:p>
    <w:p>
      <w:pPr>
        <w:spacing w:line="500" w:lineRule="exact"/>
        <w:rPr>
          <w:rFonts w:ascii="宋体"/>
          <w:szCs w:val="21"/>
        </w:rPr>
      </w:pPr>
      <w: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2"/>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授权委托人身份证国徽面</w:t>
                            </w:r>
                          </w:p>
                        </w:txbxContent>
                      </wps:txbx>
                      <wps:bodyPr wrap="square" upright="1"/>
                    </wps:wsp>
                  </a:graphicData>
                </a:graphic>
              </wp:anchor>
            </w:drawing>
          </mc:Choice>
          <mc:Fallback>
            <w:pict>
              <v:shape id="流程图: 可选过程 2" o:spid="_x0000_s1026" o:spt="176" type="#_x0000_t176" style="position:absolute;left:0pt;margin-left:208.3pt;margin-top:18.8pt;height:166.45pt;width:259.65pt;z-index:251663360;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zZJzICAABeBAAADgAAAGRycy9lMm9Eb2MueG1srVTN&#10;jtMwEL4j8Q6W7zRNVwUaNV2hLeWCYKWFB5g6TmLJf9huk97ghBAHHoAX4MaJKzzN8vMWjJ3S/YFD&#10;D+SQjO2Zb+b7Zpz5aa8k2XLnhdElzUdjSrhmphK6KenLF6t7DynxAXQF0mhe0h339HRx9868swWf&#10;mNbIijuCINoXnS1pG4ItssyzlivwI2O5xsPaOAUBl67JKgcdoiuZTcbj+1lnXGWdYdx73F0Oh3SP&#10;6I4BNHUtGF8atlFchwHVcQkBKflWWE8Xqdq65iw8r2vPA5ElRaYhvTEJ2uv4zhZzKBoHthVsXwIc&#10;U8ItTgqExqQHqCUEIBsn/oJSgjnjTR1GzKhsIJIUQRb5+JY2Fy1Ynrig1N4eRPf/D5Y92547IqqS&#10;TinRoLDh37+8+fHp/eXHrwW5/PD51+t3P7+9xQ0yiWJ11hcYc2HP3X7l0YzM+9qp+EVOpE8C7w4C&#10;8z4Qhpsnk9mD6RQzMTyb5PnJLJ9G1Owq3DofnnCjSDRKWkvTnbXgwiMZuNMQ+PkwOklt2D71YYj/&#10;ExdL8EaKaiWkTAvXrM+kI1vAEVilZ5/yhpvUpCvpbDqJ1QHOdY3zhKayqI3XTcp3I8JfBx6n51/A&#10;sbAl+HYoICFENyiUQEbJajlUj3VFws6i/hqvHY3FKF5RIjne0mglzwBCHuOJgkqNusZ2DQ2KVujX&#10;PcJEc22qHTa+w8lHeq824DDnxjrRtKh6nohEPxy71J79FYlzfX2dUlz9F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ACJfjYAAAACgEAAA8AAAAAAAAAAQAgAAAAIgAAAGRycy9kb3ducmV2Lnht&#10;bFBLAQIUABQAAAAIAIdO4kD+DNknMgIAAF4EAAAOAAAAAAAAAAEAIAAAACcBAABkcnMvZTJvRG9j&#10;LnhtbFBLBQYAAAAABgAGAFkBAADLBQAAAAA=&#10;">
                <v:fill on="t" focussize="0,0"/>
                <v:stroke color="#000000" joinstyle="miter"/>
                <v:imagedata o:title=""/>
                <o:lock v:ext="edit" aspectratio="f"/>
                <v:textbox>
                  <w:txbxContent>
                    <w:p>
                      <w:pPr>
                        <w:jc w:val="center"/>
                        <w:rPr>
                          <w:szCs w:val="21"/>
                        </w:rPr>
                      </w:pPr>
                      <w:r>
                        <w:rPr>
                          <w:rFonts w:hint="eastAsia"/>
                          <w:szCs w:val="21"/>
                        </w:rPr>
                        <w:t>授权委托人身份证国徽面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授权委托人身份证人像面</w:t>
                            </w:r>
                          </w:p>
                          <w:p>
                            <w:pPr>
                              <w:jc w:val="center"/>
                              <w:rPr>
                                <w:szCs w:val="21"/>
                              </w:rPr>
                            </w:pPr>
                          </w:p>
                        </w:txbxContent>
                      </wps:txbx>
                      <wps:bodyPr wrap="square" upright="1"/>
                    </wps:wsp>
                  </a:graphicData>
                </a:graphic>
              </wp:anchor>
            </w:drawing>
          </mc:Choice>
          <mc:Fallback>
            <w:pict>
              <v:shape id="流程图: 可选过程 1" o:spid="_x0000_s1026" o:spt="176" type="#_x0000_t176" style="position:absolute;left:0pt;margin-left:-51.35pt;margin-top:18.8pt;height:166.45pt;width:259.65pt;z-index:251662336;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DkoD4yAgAAXgQAAA4AAABkcnMvZTJvRG9jLnhtbK1U&#10;S44TMRDdI3EHy3vS6QwB0kpnhCaEDYJIAweouN3dlvzDdtLJDlYIsZgDcAF2rNjCaYbPLSi7Q+YD&#10;iyzwwl3+1Kt6r8o9Pd0qSTbceWF0SfPBkBKumamEbkr66uXi3iNKfABdgTSal3THPT2d3b0z7WzB&#10;R6Y1suKOIIj2RWdL2oZgiyzzrOUK/MBYrvGwNk5BwKVrsspBh+hKZqPh8EHWGVdZZxj3Hnfn/SHd&#10;I7pjAE1dC8bnhq0V16FHdVxCQEq+FdbTWcq2rjkLL+ra80BkSZFpSDMGQXsV52w2haJxYFvB9inA&#10;MSnc4qRAaAx6gJpDALJ24i8oJZgz3tRhwIzKeiJJEWSRD29pc96C5YkLSu3tQXT//2DZ883SEVGV&#10;9D4lGhQW/PuXtz8+fbj8+LUglxeff715//PbO9wgeRSrs75An3O7dPuVRzMy39ZOxS9yItsk8O4g&#10;MN8GwnDzZDR5OB6PKWF4Nsrzk0k+jqjZlbt1PjzlRpFolLSWpjtrwYXHMnCnIfBl3zpJbdg886H3&#10;/+MXU/BGimohpEwL16zOpCMbwBZYpLEPeeOa1KQr6WQ8itkB9nWN/YSmsqiN102Kd8PDXwcepvEv&#10;4JjYHHzbJ5AQ4jUolEBGyWo5VE90RcLOov4anx2NySheUSI5vtJopZsBhDzmJgoqNeoay9UXKFph&#10;u9oiTDRXptph4TvsfKT3eg0OY66tE02LqqdSJ2dsu1Se/ROJfX19nUJc/RZ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Aglc2QAAAAsBAAAPAAAAAAAAAAEAIAAAACIAAABkcnMvZG93bnJldi54&#10;bWxQSwECFAAUAAAACACHTuJAAOSgPjICAABeBAAADgAAAAAAAAABACAAAAAoAQAAZHJzL2Uyb0Rv&#10;Yy54bWxQSwUGAAAAAAYABgBZAQAAzAUAAAAA&#10;">
                <v:fill on="t" focussize="0,0"/>
                <v:stroke color="#000000" joinstyle="miter"/>
                <v:imagedata o:title=""/>
                <o:lock v:ext="edit" aspectratio="f"/>
                <v:textbox>
                  <w:txbxContent>
                    <w:p>
                      <w:pPr>
                        <w:jc w:val="center"/>
                        <w:rPr>
                          <w:szCs w:val="21"/>
                        </w:rPr>
                      </w:pPr>
                      <w:r>
                        <w:rPr>
                          <w:rFonts w:hint="eastAsia"/>
                          <w:szCs w:val="21"/>
                        </w:rPr>
                        <w:t>授权委托人身份证人像面</w:t>
                      </w:r>
                    </w:p>
                    <w:p>
                      <w:pPr>
                        <w:jc w:val="center"/>
                        <w:rPr>
                          <w:szCs w:val="21"/>
                        </w:rPr>
                      </w:pPr>
                    </w:p>
                  </w:txbxContent>
                </v:textbox>
              </v:shape>
            </w:pict>
          </mc:Fallback>
        </mc:AlternateContent>
      </w: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50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szCs w:val="21"/>
        </w:rPr>
      </w:pPr>
    </w:p>
    <w:p>
      <w:pPr>
        <w:spacing w:line="440" w:lineRule="exact"/>
        <w:rPr>
          <w:rFonts w:ascii="宋体"/>
          <w:szCs w:val="21"/>
        </w:rPr>
      </w:pPr>
    </w:p>
    <w:p>
      <w:pPr>
        <w:topLinePunct/>
        <w:snapToGrid w:val="0"/>
        <w:spacing w:line="440" w:lineRule="exact"/>
        <w:ind w:firstLine="420" w:firstLineChars="200"/>
        <w:jc w:val="right"/>
        <w:rPr>
          <w:rFonts w:ascii="宋体"/>
          <w:bCs/>
          <w:szCs w:val="21"/>
        </w:rPr>
      </w:pPr>
      <w:r>
        <w:rPr>
          <w:rFonts w:ascii="宋体" w:hAnsi="宋体"/>
          <w:bCs/>
          <w:szCs w:val="21"/>
        </w:rPr>
        <w:t xml:space="preserve"> </w:t>
      </w:r>
      <w:r>
        <w:rPr>
          <w:rFonts w:hint="eastAsia" w:ascii="宋体" w:hAnsi="宋体"/>
          <w:bCs/>
          <w:szCs w:val="21"/>
        </w:rPr>
        <w:t>投标人名称：</w:t>
      </w:r>
      <w:r>
        <w:rPr>
          <w:rFonts w:ascii="宋体" w:hAnsi="宋体"/>
          <w:bCs/>
          <w:szCs w:val="21"/>
          <w:u w:val="single"/>
        </w:rPr>
        <w:t xml:space="preserve">                               </w:t>
      </w:r>
      <w:r>
        <w:rPr>
          <w:rFonts w:hint="eastAsia" w:ascii="宋体" w:hAnsi="宋体"/>
          <w:bCs/>
          <w:szCs w:val="21"/>
        </w:rPr>
        <w:t>（盖单位公章）</w:t>
      </w:r>
    </w:p>
    <w:p>
      <w:pPr>
        <w:topLinePunct/>
        <w:snapToGrid w:val="0"/>
        <w:spacing w:line="440" w:lineRule="exact"/>
        <w:ind w:firstLine="2310" w:firstLineChars="1100"/>
        <w:rPr>
          <w:rFonts w:ascii="宋体"/>
          <w:bCs/>
          <w:szCs w:val="21"/>
        </w:rPr>
      </w:pPr>
      <w:r>
        <w:rPr>
          <w:rFonts w:hint="eastAsia" w:ascii="宋体" w:hAnsi="宋体"/>
          <w:bCs/>
          <w:szCs w:val="21"/>
        </w:rPr>
        <w:t>法定代表人：</w:t>
      </w:r>
      <w:r>
        <w:rPr>
          <w:rFonts w:ascii="宋体" w:hAnsi="宋体"/>
          <w:bCs/>
          <w:szCs w:val="21"/>
          <w:u w:val="single"/>
        </w:rPr>
        <w:t xml:space="preserve">                                </w:t>
      </w:r>
      <w:r>
        <w:rPr>
          <w:rFonts w:hint="eastAsia" w:ascii="宋体" w:hAnsi="宋体"/>
          <w:bCs/>
          <w:szCs w:val="21"/>
        </w:rPr>
        <w:t>（签字或盖章）</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2310" w:firstLineChars="1100"/>
        <w:rPr>
          <w:rFonts w:ascii="宋体" w:hAnsi="宋体"/>
          <w:bCs/>
          <w:szCs w:val="21"/>
        </w:rPr>
      </w:pPr>
      <w:r>
        <w:rPr>
          <w:rFonts w:hint="eastAsia" w:ascii="宋体" w:hAnsi="宋体"/>
          <w:bCs/>
          <w:szCs w:val="21"/>
        </w:rPr>
        <w:t>授权委托人：</w:t>
      </w:r>
      <w:r>
        <w:rPr>
          <w:rFonts w:ascii="宋体" w:hAnsi="宋体"/>
          <w:bCs/>
          <w:szCs w:val="21"/>
          <w:u w:val="single"/>
        </w:rPr>
        <w:t xml:space="preserve">                                </w:t>
      </w:r>
      <w:r>
        <w:rPr>
          <w:rFonts w:hint="eastAsia" w:ascii="宋体" w:hAnsi="宋体"/>
          <w:bCs/>
          <w:szCs w:val="21"/>
        </w:rPr>
        <w:t>（签字或盖章）</w:t>
      </w:r>
      <w:r>
        <w:rPr>
          <w:rFonts w:ascii="宋体" w:hAnsi="宋体"/>
          <w:bCs/>
          <w:szCs w:val="21"/>
        </w:rPr>
        <w:t xml:space="preserve"> </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topLinePunct/>
        <w:snapToGrid w:val="0"/>
        <w:spacing w:line="440" w:lineRule="exact"/>
        <w:ind w:firstLine="420" w:firstLineChars="200"/>
        <w:rPr>
          <w:rFonts w:ascii="宋体"/>
          <w:bCs/>
          <w:szCs w:val="21"/>
        </w:rPr>
      </w:pPr>
    </w:p>
    <w:p>
      <w:pPr>
        <w:spacing w:line="360" w:lineRule="exact"/>
        <w:rPr>
          <w:rFonts w:ascii="宋体"/>
          <w:sz w:val="28"/>
          <w:szCs w:val="28"/>
        </w:rPr>
        <w:sectPr>
          <w:headerReference r:id="rId7" w:type="first"/>
          <w:footerReference r:id="rId9" w:type="first"/>
          <w:footerReference r:id="rId8" w:type="default"/>
          <w:pgSz w:w="11906" w:h="16838"/>
          <w:pgMar w:top="1440" w:right="1800" w:bottom="1440" w:left="1800" w:header="851" w:footer="992" w:gutter="0"/>
          <w:pgNumType w:fmt="numberInDash"/>
          <w:cols w:space="720" w:num="1"/>
          <w:titlePg/>
          <w:docGrid w:linePitch="286" w:charSpace="0"/>
        </w:sectPr>
      </w:pPr>
    </w:p>
    <w:p>
      <w:pPr>
        <w:pStyle w:val="2"/>
        <w:snapToGrid w:val="0"/>
        <w:spacing w:before="0" w:after="0" w:line="360" w:lineRule="auto"/>
        <w:jc w:val="center"/>
        <w:rPr>
          <w:rFonts w:ascii="宋体" w:hAnsi="宋体" w:eastAsia="宋体" w:cs="宋体"/>
          <w:bCs w:val="0"/>
          <w:sz w:val="24"/>
          <w:szCs w:val="24"/>
        </w:rPr>
      </w:pPr>
      <w:bookmarkStart w:id="532" w:name="_Toc12305"/>
      <w:bookmarkStart w:id="533" w:name="_Toc16175993"/>
      <w:bookmarkStart w:id="534" w:name="_Toc447265331"/>
      <w:bookmarkStart w:id="535" w:name="_Toc447265617"/>
      <w:r>
        <w:rPr>
          <w:rFonts w:hint="eastAsia" w:ascii="宋体" w:hAnsi="宋体" w:eastAsia="宋体" w:cs="宋体"/>
          <w:bCs w:val="0"/>
          <w:sz w:val="24"/>
          <w:szCs w:val="24"/>
        </w:rPr>
        <w:t>四</w:t>
      </w:r>
      <w:r>
        <w:rPr>
          <w:rFonts w:ascii="宋体" w:hAnsi="宋体" w:eastAsia="宋体" w:cs="宋体"/>
          <w:bCs w:val="0"/>
          <w:sz w:val="24"/>
          <w:szCs w:val="24"/>
        </w:rPr>
        <w:t>、投标报价表及说明</w:t>
      </w:r>
      <w:bookmarkEnd w:id="532"/>
      <w:bookmarkEnd w:id="533"/>
    </w:p>
    <w:p>
      <w:pPr>
        <w:spacing w:line="360" w:lineRule="auto"/>
        <w:jc w:val="center"/>
        <w:rPr>
          <w:rFonts w:hint="eastAsia" w:ascii="宋体" w:hAnsi="宋体"/>
          <w:b/>
          <w:sz w:val="24"/>
        </w:rPr>
      </w:pPr>
      <w:r>
        <w:rPr>
          <w:rFonts w:hint="eastAsia" w:ascii="宋体" w:hAnsi="宋体"/>
          <w:b/>
          <w:sz w:val="24"/>
        </w:rPr>
        <w:t>投标报价表</w:t>
      </w:r>
    </w:p>
    <w:p>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bCs/>
          <w:szCs w:val="21"/>
          <w:u w:val="single"/>
        </w:rPr>
        <w:t>S103济枣线山亭区凫城至市中区曾店段改建工程商品混凝土采购</w:t>
      </w:r>
      <w:r>
        <w:rPr>
          <w:rFonts w:ascii="宋体" w:hAnsi="宋体" w:cs="宋体"/>
          <w:szCs w:val="21"/>
        </w:rPr>
        <w:t xml:space="preserve">      </w:t>
      </w:r>
      <w:r>
        <w:rPr>
          <w:rFonts w:hint="eastAsia" w:ascii="宋体" w:hAnsi="宋体" w:cs="宋体"/>
          <w:szCs w:val="21"/>
        </w:rPr>
        <w:t>招标编号：</w:t>
      </w:r>
      <w:r>
        <w:rPr>
          <w:rFonts w:hint="eastAsia" w:ascii="宋体" w:hAnsi="宋体" w:cs="宋体"/>
          <w:szCs w:val="21"/>
          <w:u w:val="single"/>
        </w:rPr>
        <w:t>CGC2021-JS-CL-15</w:t>
      </w:r>
      <w:r>
        <w:rPr>
          <w:rFonts w:hint="eastAsia" w:ascii="宋体" w:hAnsi="宋体" w:cs="宋体"/>
          <w:szCs w:val="21"/>
        </w:rPr>
        <w:t xml:space="preserve">               币种：人民币</w:t>
      </w:r>
    </w:p>
    <w:tbl>
      <w:tblPr>
        <w:tblStyle w:val="39"/>
        <w:tblW w:w="0" w:type="auto"/>
        <w:tblInd w:w="527"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3136"/>
        <w:gridCol w:w="1835"/>
        <w:gridCol w:w="519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ascii="宋体" w:hAnsi="宋体"/>
                <w:bCs/>
              </w:rPr>
            </w:pPr>
            <w:r>
              <w:rPr>
                <w:rFonts w:hint="eastAsia" w:ascii="宋体" w:hAnsi="宋体"/>
                <w:bCs/>
              </w:rPr>
              <w:t>序号</w:t>
            </w:r>
          </w:p>
        </w:tc>
        <w:tc>
          <w:tcPr>
            <w:tcW w:w="4971" w:type="dxa"/>
            <w:gridSpan w:val="2"/>
            <w:noWrap w:val="0"/>
            <w:vAlign w:val="center"/>
          </w:tcPr>
          <w:p>
            <w:pPr>
              <w:spacing w:line="400" w:lineRule="exact"/>
              <w:jc w:val="center"/>
              <w:rPr>
                <w:rFonts w:hint="eastAsia" w:ascii="宋体" w:hAnsi="宋体" w:eastAsia="宋体"/>
                <w:bCs/>
                <w:lang w:eastAsia="zh-CN"/>
              </w:rPr>
            </w:pPr>
            <w:r>
              <w:rPr>
                <w:rFonts w:hint="eastAsia" w:ascii="宋体" w:hAnsi="宋体"/>
                <w:bCs/>
                <w:lang w:val="en-US" w:eastAsia="zh-CN"/>
              </w:rPr>
              <w:t>报价</w:t>
            </w:r>
          </w:p>
        </w:tc>
        <w:tc>
          <w:tcPr>
            <w:tcW w:w="5193" w:type="dxa"/>
            <w:noWrap w:val="0"/>
            <w:vAlign w:val="center"/>
          </w:tcPr>
          <w:p>
            <w:pPr>
              <w:spacing w:line="400" w:lineRule="exact"/>
              <w:jc w:val="center"/>
              <w:rPr>
                <w:rFonts w:ascii="宋体" w:hAnsi="宋体"/>
                <w:bCs/>
              </w:rPr>
            </w:pPr>
            <w:r>
              <w:rPr>
                <w:rFonts w:hint="eastAsia" w:ascii="宋体" w:hAnsi="宋体"/>
                <w:bCs/>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ascii="宋体" w:hAnsi="宋体"/>
                <w:bCs/>
                <w:sz w:val="24"/>
              </w:rPr>
            </w:pPr>
            <w:r>
              <w:rPr>
                <w:rFonts w:hint="eastAsia" w:ascii="宋体" w:hAnsi="宋体"/>
                <w:bCs/>
                <w:sz w:val="24"/>
              </w:rPr>
              <w:t>1</w:t>
            </w:r>
          </w:p>
        </w:tc>
        <w:tc>
          <w:tcPr>
            <w:tcW w:w="4971" w:type="dxa"/>
            <w:gridSpan w:val="2"/>
            <w:noWrap w:val="0"/>
            <w:vAlign w:val="center"/>
          </w:tcPr>
          <w:p>
            <w:pPr>
              <w:spacing w:line="400" w:lineRule="exact"/>
              <w:jc w:val="left"/>
              <w:rPr>
                <w:rFonts w:hint="default" w:ascii="宋体" w:hAnsi="宋体" w:eastAsia="宋体"/>
                <w:bCs/>
                <w:sz w:val="24"/>
                <w:highlight w:val="cyan"/>
                <w:lang w:val="en-US" w:eastAsia="zh-CN"/>
              </w:rPr>
            </w:pPr>
            <w:r>
              <w:rPr>
                <w:rFonts w:hint="eastAsia" w:ascii="宋体" w:hAnsi="宋体"/>
                <w:bCs/>
                <w:sz w:val="24"/>
                <w:highlight w:val="none"/>
                <w:shd w:val="clear"/>
                <w:lang w:val="en-US" w:eastAsia="zh-CN"/>
              </w:rPr>
              <w:t>砼C10：</w:t>
            </w:r>
          </w:p>
        </w:tc>
        <w:tc>
          <w:tcPr>
            <w:tcW w:w="5193" w:type="dxa"/>
            <w:noWrap w:val="0"/>
            <w:vAlign w:val="center"/>
          </w:tcPr>
          <w:p>
            <w:pPr>
              <w:spacing w:line="400" w:lineRule="exact"/>
              <w:jc w:val="center"/>
              <w:rPr>
                <w:rFonts w:ascii="宋体" w:hAnsi="宋体"/>
                <w:bCs/>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ascii="宋体" w:hAnsi="宋体"/>
                <w:bCs/>
                <w:sz w:val="24"/>
              </w:rPr>
            </w:pPr>
            <w:r>
              <w:rPr>
                <w:rFonts w:hint="eastAsia" w:ascii="宋体" w:hAnsi="宋体"/>
                <w:bCs/>
                <w:sz w:val="24"/>
              </w:rPr>
              <w:t>2</w:t>
            </w:r>
          </w:p>
        </w:tc>
        <w:tc>
          <w:tcPr>
            <w:tcW w:w="4971" w:type="dxa"/>
            <w:gridSpan w:val="2"/>
            <w:noWrap w:val="0"/>
            <w:vAlign w:val="center"/>
          </w:tcPr>
          <w:p>
            <w:pPr>
              <w:spacing w:line="400" w:lineRule="exact"/>
              <w:jc w:val="left"/>
              <w:rPr>
                <w:rFonts w:ascii="宋体" w:hAnsi="宋体"/>
                <w:bCs/>
                <w:sz w:val="24"/>
                <w:highlight w:val="cyan"/>
              </w:rPr>
            </w:pPr>
            <w:r>
              <w:rPr>
                <w:rFonts w:hint="eastAsia" w:ascii="宋体" w:hAnsi="宋体"/>
                <w:bCs/>
                <w:sz w:val="24"/>
                <w:highlight w:val="none"/>
                <w:shd w:val="clear"/>
                <w:lang w:val="en-US" w:eastAsia="zh-CN"/>
              </w:rPr>
              <w:t>砼C15：</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ascii="宋体" w:hAnsi="宋体"/>
                <w:bCs/>
                <w:sz w:val="24"/>
              </w:rPr>
            </w:pPr>
            <w:r>
              <w:rPr>
                <w:rFonts w:hint="eastAsia" w:ascii="宋体" w:hAnsi="宋体"/>
                <w:bCs/>
                <w:sz w:val="24"/>
              </w:rPr>
              <w:t>3</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砼C20：</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4</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砼C25：</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5</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砼C30：</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6</w:t>
            </w:r>
          </w:p>
        </w:tc>
        <w:tc>
          <w:tcPr>
            <w:tcW w:w="4971" w:type="dxa"/>
            <w:gridSpan w:val="2"/>
            <w:noWrap w:val="0"/>
            <w:vAlign w:val="center"/>
          </w:tcPr>
          <w:p>
            <w:pPr>
              <w:spacing w:line="400" w:lineRule="exact"/>
              <w:jc w:val="both"/>
              <w:rPr>
                <w:rFonts w:hint="default"/>
                <w:lang w:val="en-US" w:eastAsia="zh-CN"/>
              </w:rPr>
            </w:pPr>
            <w:r>
              <w:rPr>
                <w:rFonts w:hint="eastAsia"/>
                <w:lang w:val="en-US" w:eastAsia="zh-CN"/>
              </w:rPr>
              <w:t>砼</w:t>
            </w:r>
            <w:r>
              <w:rPr>
                <w:rFonts w:hint="eastAsia" w:ascii="宋体" w:hAnsi="宋体"/>
                <w:bCs/>
                <w:sz w:val="24"/>
                <w:lang w:val="en-US" w:eastAsia="zh-CN"/>
              </w:rPr>
              <w:t>C35</w:t>
            </w:r>
            <w:r>
              <w:rPr>
                <w:rFonts w:hint="eastAsia"/>
                <w:lang w:val="en-US"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7</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砼C40：</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8</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砼C50：</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31" w:type="dxa"/>
            <w:gridSpan w:val="2"/>
            <w:noWrap w:val="0"/>
            <w:vAlign w:val="center"/>
          </w:tcPr>
          <w:p>
            <w:pPr>
              <w:spacing w:line="400" w:lineRule="exact"/>
              <w:jc w:val="center"/>
              <w:rPr>
                <w:rFonts w:ascii="宋体" w:hAnsi="宋体"/>
                <w:bCs/>
                <w:sz w:val="24"/>
              </w:rPr>
            </w:pPr>
            <w:r>
              <w:rPr>
                <w:rFonts w:hint="eastAsia" w:ascii="宋体" w:hAnsi="宋体"/>
                <w:bCs/>
                <w:sz w:val="24"/>
              </w:rPr>
              <w:t>合计</w:t>
            </w:r>
          </w:p>
        </w:tc>
        <w:tc>
          <w:tcPr>
            <w:tcW w:w="7028" w:type="dxa"/>
            <w:gridSpan w:val="2"/>
            <w:noWrap w:val="0"/>
            <w:vAlign w:val="center"/>
          </w:tcPr>
          <w:p>
            <w:pPr>
              <w:spacing w:line="400" w:lineRule="exact"/>
              <w:jc w:val="both"/>
              <w:rPr>
                <w:rFonts w:ascii="宋体" w:hAnsi="宋体"/>
                <w:bCs/>
                <w:sz w:val="24"/>
              </w:rPr>
            </w:pPr>
            <w:r>
              <w:rPr>
                <w:rFonts w:hint="eastAsia" w:ascii="宋体" w:hAnsi="宋体"/>
                <w:bCs/>
                <w:sz w:val="24"/>
              </w:rPr>
              <w:t>小写：¥</w:t>
            </w:r>
            <w:r>
              <w:rPr>
                <w:rFonts w:hint="eastAsia" w:ascii="宋体" w:hAnsi="宋体"/>
                <w:bCs/>
                <w:sz w:val="24"/>
                <w:u w:val="single"/>
              </w:rPr>
              <w:t xml:space="preserve">            </w:t>
            </w:r>
            <w:r>
              <w:rPr>
                <w:rFonts w:hint="eastAsia" w:ascii="宋体" w:hAnsi="宋体"/>
                <w:bCs/>
                <w:sz w:val="24"/>
              </w:rPr>
              <w:t>，大写：人民币</w:t>
            </w:r>
            <w:r>
              <w:rPr>
                <w:rFonts w:hint="eastAsia" w:ascii="宋体" w:hAnsi="宋体"/>
                <w:bCs/>
                <w:sz w:val="24"/>
                <w:u w:val="single"/>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9</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抗渗P6：</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default" w:ascii="宋体" w:hAnsi="宋体"/>
                <w:bCs/>
                <w:sz w:val="24"/>
                <w:lang w:val="en-US" w:eastAsia="zh-CN"/>
              </w:rPr>
            </w:pPr>
            <w:r>
              <w:rPr>
                <w:rFonts w:hint="eastAsia" w:ascii="宋体" w:hAnsi="宋体"/>
                <w:bCs/>
                <w:sz w:val="24"/>
                <w:lang w:val="en-US" w:eastAsia="zh-CN"/>
              </w:rPr>
              <w:t>10</w:t>
            </w:r>
          </w:p>
        </w:tc>
        <w:tc>
          <w:tcPr>
            <w:tcW w:w="4971" w:type="dxa"/>
            <w:gridSpan w:val="2"/>
            <w:noWrap w:val="0"/>
            <w:vAlign w:val="center"/>
          </w:tcPr>
          <w:p>
            <w:pPr>
              <w:spacing w:line="400" w:lineRule="exact"/>
              <w:jc w:val="both"/>
              <w:rPr>
                <w:rFonts w:hint="default" w:ascii="宋体" w:hAnsi="宋体" w:eastAsia="宋体"/>
                <w:bCs/>
                <w:sz w:val="24"/>
                <w:lang w:val="en-US" w:eastAsia="zh-CN"/>
              </w:rPr>
            </w:pPr>
            <w:r>
              <w:rPr>
                <w:rFonts w:hint="eastAsia" w:ascii="宋体" w:hAnsi="宋体"/>
                <w:bCs/>
                <w:sz w:val="24"/>
                <w:lang w:val="en-US" w:eastAsia="zh-CN"/>
              </w:rPr>
              <w:t>抗渗p8：</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default" w:ascii="宋体" w:hAnsi="宋体"/>
                <w:bCs/>
                <w:sz w:val="24"/>
                <w:lang w:val="en-US" w:eastAsia="zh-CN"/>
              </w:rPr>
            </w:pPr>
            <w:r>
              <w:rPr>
                <w:rFonts w:hint="eastAsia" w:ascii="宋体" w:hAnsi="宋体"/>
                <w:bCs/>
                <w:sz w:val="24"/>
                <w:lang w:val="en-US" w:eastAsia="zh-CN"/>
              </w:rPr>
              <w:t>11</w:t>
            </w:r>
          </w:p>
        </w:tc>
        <w:tc>
          <w:tcPr>
            <w:tcW w:w="4971" w:type="dxa"/>
            <w:gridSpan w:val="2"/>
            <w:noWrap w:val="0"/>
            <w:vAlign w:val="center"/>
          </w:tcPr>
          <w:p>
            <w:pPr>
              <w:spacing w:line="400" w:lineRule="exact"/>
              <w:jc w:val="both"/>
              <w:rPr>
                <w:rFonts w:hint="eastAsia" w:ascii="宋体" w:hAnsi="宋体" w:eastAsia="宋体"/>
                <w:bCs/>
                <w:sz w:val="24"/>
                <w:lang w:val="en-US" w:eastAsia="zh-CN"/>
              </w:rPr>
            </w:pPr>
            <w:r>
              <w:rPr>
                <w:rFonts w:hint="eastAsia" w:ascii="宋体" w:hAnsi="宋体"/>
                <w:bCs/>
                <w:sz w:val="24"/>
                <w:lang w:val="en-US" w:eastAsia="zh-CN"/>
              </w:rPr>
              <w:t>钢纤维：</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default" w:ascii="宋体" w:hAnsi="宋体"/>
                <w:bCs/>
                <w:sz w:val="24"/>
                <w:lang w:val="en-US" w:eastAsia="zh-CN"/>
              </w:rPr>
            </w:pPr>
            <w:r>
              <w:rPr>
                <w:rFonts w:hint="eastAsia" w:ascii="宋体" w:hAnsi="宋体"/>
                <w:bCs/>
                <w:sz w:val="24"/>
                <w:lang w:val="en-US" w:eastAsia="zh-CN"/>
              </w:rPr>
              <w:t>12</w:t>
            </w:r>
          </w:p>
        </w:tc>
        <w:tc>
          <w:tcPr>
            <w:tcW w:w="4971" w:type="dxa"/>
            <w:gridSpan w:val="2"/>
            <w:noWrap w:val="0"/>
            <w:vAlign w:val="center"/>
          </w:tcPr>
          <w:p>
            <w:pPr>
              <w:spacing w:line="400" w:lineRule="exact"/>
              <w:jc w:val="both"/>
              <w:rPr>
                <w:rFonts w:hint="eastAsia" w:ascii="宋体" w:hAnsi="宋体" w:eastAsia="宋体"/>
                <w:bCs/>
                <w:sz w:val="24"/>
                <w:lang w:val="en-US" w:eastAsia="zh-CN"/>
              </w:rPr>
            </w:pPr>
            <w:r>
              <w:rPr>
                <w:rFonts w:hint="eastAsia" w:ascii="宋体" w:hAnsi="宋体"/>
                <w:bCs/>
                <w:sz w:val="24"/>
                <w:lang w:val="en-US" w:eastAsia="zh-CN"/>
              </w:rPr>
              <w:t>防冻剂：</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default" w:ascii="宋体" w:hAnsi="宋体"/>
                <w:bCs/>
                <w:sz w:val="24"/>
                <w:lang w:val="en-US" w:eastAsia="zh-CN"/>
              </w:rPr>
            </w:pPr>
            <w:r>
              <w:rPr>
                <w:rFonts w:hint="eastAsia" w:ascii="宋体" w:hAnsi="宋体"/>
                <w:bCs/>
                <w:sz w:val="24"/>
                <w:lang w:val="en-US" w:eastAsia="zh-CN"/>
              </w:rPr>
              <w:t>13</w:t>
            </w:r>
          </w:p>
        </w:tc>
        <w:tc>
          <w:tcPr>
            <w:tcW w:w="4971" w:type="dxa"/>
            <w:gridSpan w:val="2"/>
            <w:noWrap w:val="0"/>
            <w:vAlign w:val="center"/>
          </w:tcPr>
          <w:p>
            <w:pPr>
              <w:spacing w:line="400" w:lineRule="exact"/>
              <w:jc w:val="both"/>
              <w:rPr>
                <w:rFonts w:hint="eastAsia" w:ascii="宋体" w:hAnsi="宋体" w:eastAsia="宋体"/>
                <w:bCs/>
                <w:sz w:val="24"/>
                <w:lang w:val="en-US" w:eastAsia="zh-CN"/>
              </w:rPr>
            </w:pPr>
            <w:r>
              <w:rPr>
                <w:rFonts w:hint="eastAsia" w:ascii="宋体" w:hAnsi="宋体"/>
                <w:bCs/>
                <w:sz w:val="24"/>
                <w:lang w:val="en-US" w:eastAsia="zh-CN"/>
              </w:rPr>
              <w:t>膨胀剂：</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5" w:type="dxa"/>
            <w:noWrap w:val="0"/>
            <w:vAlign w:val="center"/>
          </w:tcPr>
          <w:p>
            <w:pPr>
              <w:spacing w:line="400" w:lineRule="exact"/>
              <w:jc w:val="center"/>
              <w:rPr>
                <w:rFonts w:hint="default" w:ascii="宋体" w:hAnsi="宋体"/>
                <w:bCs/>
                <w:sz w:val="24"/>
                <w:lang w:val="en-US" w:eastAsia="zh-CN"/>
              </w:rPr>
            </w:pPr>
            <w:r>
              <w:rPr>
                <w:rFonts w:hint="eastAsia" w:ascii="宋体" w:hAnsi="宋体"/>
                <w:bCs/>
                <w:sz w:val="24"/>
                <w:lang w:val="en-US" w:eastAsia="zh-CN"/>
              </w:rPr>
              <w:t>14</w:t>
            </w:r>
          </w:p>
        </w:tc>
        <w:tc>
          <w:tcPr>
            <w:tcW w:w="4971" w:type="dxa"/>
            <w:gridSpan w:val="2"/>
            <w:noWrap w:val="0"/>
            <w:vAlign w:val="center"/>
          </w:tcPr>
          <w:p>
            <w:pPr>
              <w:spacing w:line="400" w:lineRule="exact"/>
              <w:jc w:val="both"/>
              <w:rPr>
                <w:rFonts w:hint="eastAsia" w:ascii="宋体" w:hAnsi="宋体" w:eastAsia="宋体"/>
                <w:bCs/>
                <w:sz w:val="24"/>
                <w:lang w:val="en-US" w:eastAsia="zh-CN"/>
              </w:rPr>
            </w:pPr>
            <w:r>
              <w:rPr>
                <w:rFonts w:hint="eastAsia" w:ascii="宋体" w:hAnsi="宋体"/>
                <w:bCs/>
                <w:sz w:val="24"/>
                <w:lang w:val="en-US" w:eastAsia="zh-CN"/>
              </w:rPr>
              <w:t>泵送：</w:t>
            </w:r>
          </w:p>
        </w:tc>
        <w:tc>
          <w:tcPr>
            <w:tcW w:w="5193" w:type="dxa"/>
            <w:noWrap w:val="0"/>
            <w:vAlign w:val="center"/>
          </w:tcPr>
          <w:p>
            <w:pPr>
              <w:spacing w:line="400" w:lineRule="exact"/>
              <w:jc w:val="center"/>
              <w:rPr>
                <w:rFonts w:ascii="宋体" w:hAnsi="宋体"/>
                <w:bCs/>
                <w:sz w:val="24"/>
              </w:rPr>
            </w:pPr>
          </w:p>
        </w:tc>
      </w:tr>
    </w:tbl>
    <w:p>
      <w:pPr>
        <w:spacing w:line="360" w:lineRule="auto"/>
        <w:rPr>
          <w:rFonts w:hint="eastAsia" w:ascii="宋体" w:hAnsi="宋体"/>
          <w:b/>
          <w:szCs w:val="21"/>
        </w:rPr>
      </w:pPr>
    </w:p>
    <w:p>
      <w:pPr>
        <w:spacing w:line="360" w:lineRule="auto"/>
        <w:ind w:firstLine="420" w:firstLineChars="200"/>
        <w:rPr>
          <w:rFonts w:hint="eastAsia" w:ascii="宋体" w:hAnsi="宋体"/>
        </w:rPr>
      </w:pPr>
      <w:r>
        <w:rPr>
          <w:rFonts w:hint="eastAsia" w:ascii="宋体" w:hAnsi="宋体"/>
        </w:rPr>
        <w:t>注：</w:t>
      </w:r>
      <w:r>
        <w:rPr>
          <w:rFonts w:hint="eastAsia" w:ascii="宋体" w:hAnsi="宋体"/>
          <w:lang w:val="en-US" w:eastAsia="zh-CN"/>
        </w:rPr>
        <w:t>1、</w:t>
      </w:r>
      <w:r>
        <w:rPr>
          <w:rFonts w:hint="eastAsia" w:ascii="宋体" w:hAnsi="宋体"/>
          <w:bCs/>
          <w:color w:val="auto"/>
          <w:szCs w:val="21"/>
          <w:highlight w:val="none"/>
        </w:rPr>
        <w:t>单次泵送费不满80m</w:t>
      </w:r>
      <w:r>
        <w:rPr>
          <w:rFonts w:hint="eastAsia" w:ascii="宋体" w:hAnsi="宋体"/>
          <w:bCs/>
          <w:color w:val="auto"/>
          <w:szCs w:val="21"/>
          <w:highlight w:val="none"/>
          <w:vertAlign w:val="superscript"/>
        </w:rPr>
        <w:t>3</w:t>
      </w:r>
      <w:r>
        <w:rPr>
          <w:rFonts w:hint="eastAsia" w:ascii="宋体" w:hAnsi="宋体"/>
          <w:bCs/>
          <w:color w:val="auto"/>
          <w:szCs w:val="21"/>
          <w:highlight w:val="none"/>
        </w:rPr>
        <w:t>的按80m</w:t>
      </w:r>
      <w:r>
        <w:rPr>
          <w:rFonts w:hint="eastAsia" w:ascii="宋体" w:hAnsi="宋体"/>
          <w:bCs/>
          <w:color w:val="auto"/>
          <w:szCs w:val="21"/>
          <w:highlight w:val="none"/>
          <w:vertAlign w:val="superscript"/>
        </w:rPr>
        <w:t>3</w:t>
      </w:r>
      <w:r>
        <w:rPr>
          <w:rFonts w:hint="eastAsia" w:ascii="宋体" w:hAnsi="宋体"/>
          <w:bCs/>
          <w:color w:val="auto"/>
          <w:szCs w:val="21"/>
          <w:highlight w:val="none"/>
        </w:rPr>
        <w:t>计费，泵车工地内转场费用不计。</w:t>
      </w:r>
    </w:p>
    <w:p>
      <w:pPr>
        <w:spacing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、实际用量即</w:t>
      </w:r>
      <w:r>
        <w:rPr>
          <w:rFonts w:hint="eastAsia" w:ascii="宋体" w:hAnsi="宋体"/>
          <w:bCs/>
          <w:color w:val="auto"/>
          <w:szCs w:val="21"/>
          <w:highlight w:val="none"/>
          <w:lang w:eastAsia="zh-CN"/>
        </w:rPr>
        <w:t>中标人</w:t>
      </w:r>
      <w:r>
        <w:rPr>
          <w:rFonts w:hint="eastAsia" w:ascii="宋体" w:hAnsi="宋体"/>
          <w:bCs/>
          <w:color w:val="auto"/>
          <w:szCs w:val="21"/>
          <w:highlight w:val="none"/>
        </w:rPr>
        <w:t>给</w:t>
      </w:r>
      <w:r>
        <w:rPr>
          <w:rFonts w:hint="eastAsia" w:ascii="宋体" w:hAnsi="宋体"/>
          <w:bCs/>
          <w:color w:val="auto"/>
          <w:szCs w:val="21"/>
          <w:highlight w:val="none"/>
          <w:lang w:eastAsia="zh-CN"/>
        </w:rPr>
        <w:t>招标人</w:t>
      </w:r>
      <w:r>
        <w:rPr>
          <w:rFonts w:hint="eastAsia" w:ascii="宋体" w:hAnsi="宋体"/>
          <w:bCs/>
          <w:color w:val="auto"/>
          <w:szCs w:val="21"/>
          <w:highlight w:val="none"/>
        </w:rPr>
        <w:t>工程的实际供货总量，含签订合同前临时供货量。</w:t>
      </w:r>
    </w:p>
    <w:p>
      <w:pPr>
        <w:pStyle w:val="47"/>
        <w:ind w:left="0" w:leftChars="0" w:firstLine="840" w:firstLineChars="400"/>
        <w:rPr>
          <w:rFonts w:hint="eastAsia"/>
          <w:lang w:val="en-US" w:eastAsia="zh-CN"/>
        </w:rPr>
      </w:pPr>
      <w:r>
        <w:rPr>
          <w:rFonts w:hint="eastAsia"/>
          <w:bCs/>
          <w:color w:val="auto"/>
          <w:szCs w:val="21"/>
          <w:highlight w:val="none"/>
          <w:lang w:val="en-US" w:eastAsia="zh-CN"/>
        </w:rPr>
        <w:t>3</w:t>
      </w:r>
      <w:r>
        <w:rPr>
          <w:rFonts w:hint="eastAsia" w:ascii="宋体" w:hAnsi="宋体"/>
          <w:bCs/>
          <w:color w:val="auto"/>
          <w:szCs w:val="21"/>
          <w:highlight w:val="none"/>
        </w:rPr>
        <w:t>、本工程如有其它特殊要求的混凝土，价格另议。</w:t>
      </w:r>
    </w:p>
    <w:p>
      <w:pPr>
        <w:spacing w:line="360" w:lineRule="auto"/>
        <w:ind w:firstLine="840" w:firstLineChars="400"/>
        <w:rPr>
          <w:rFonts w:hint="eastAsia" w:ascii="宋体" w:hAnsi="宋体"/>
        </w:rPr>
      </w:pPr>
      <w:r>
        <w:rPr>
          <w:rFonts w:hint="eastAsia" w:ascii="宋体" w:hAnsi="宋体"/>
          <w:lang w:val="en-US" w:eastAsia="zh-CN"/>
        </w:rPr>
        <w:t>4、</w:t>
      </w:r>
      <w:r>
        <w:rPr>
          <w:rFonts w:hint="eastAsia" w:ascii="宋体" w:hAnsi="宋体"/>
        </w:rPr>
        <w:t>报价只能按一种方案报价，否则视为无效。</w:t>
      </w:r>
    </w:p>
    <w:p>
      <w:pPr>
        <w:spacing w:line="360" w:lineRule="auto"/>
        <w:ind w:firstLine="840" w:firstLineChars="400"/>
        <w:rPr>
          <w:rFonts w:hint="eastAsia" w:ascii="宋体" w:hAnsi="宋体"/>
        </w:rPr>
      </w:pPr>
      <w:r>
        <w:rPr>
          <w:rFonts w:hint="eastAsia" w:ascii="宋体" w:hAnsi="宋体"/>
          <w:lang w:val="en-US" w:eastAsia="zh-CN"/>
        </w:rPr>
        <w:t>5、</w:t>
      </w:r>
      <w:r>
        <w:rPr>
          <w:rFonts w:hint="eastAsia" w:ascii="宋体" w:hAnsi="宋体"/>
        </w:rPr>
        <w:t>报价必须与投标函的投标报价一致。</w:t>
      </w:r>
    </w:p>
    <w:p>
      <w:pPr>
        <w:spacing w:line="360" w:lineRule="auto"/>
        <w:ind w:firstLine="840" w:firstLineChars="400"/>
        <w:rPr>
          <w:rFonts w:hint="eastAsia" w:ascii="宋体" w:hAnsi="宋体"/>
        </w:rPr>
      </w:pPr>
      <w:r>
        <w:rPr>
          <w:rFonts w:hint="eastAsia" w:ascii="宋体" w:hAnsi="宋体" w:cs="宋体"/>
          <w:szCs w:val="21"/>
          <w:lang w:val="en-US" w:eastAsia="zh-CN"/>
        </w:rPr>
        <w:t>6、</w:t>
      </w:r>
      <w:r>
        <w:rPr>
          <w:rFonts w:hint="eastAsia" w:ascii="宋体" w:hAnsi="宋体" w:eastAsia="宋体" w:cs="宋体"/>
          <w:highlight w:val="none"/>
          <w:lang w:val="en-US" w:eastAsia="zh-CN"/>
        </w:rPr>
        <w:t>如市场浮动超过±3%时同比例进行调价，并出具价格确认函</w:t>
      </w:r>
      <w:r>
        <w:rPr>
          <w:rFonts w:hint="eastAsia" w:ascii="宋体" w:hAnsi="宋体" w:cs="宋体"/>
          <w:highlight w:val="none"/>
          <w:lang w:val="en-US" w:eastAsia="zh-CN"/>
        </w:rPr>
        <w:t>。</w:t>
      </w:r>
    </w:p>
    <w:p>
      <w:pPr>
        <w:pStyle w:val="2"/>
        <w:rPr>
          <w:rFonts w:hint="eastAsia" w:ascii="宋体" w:hAnsi="宋体"/>
        </w:rPr>
      </w:pPr>
    </w:p>
    <w:p>
      <w:pPr>
        <w:pStyle w:val="2"/>
        <w:rPr>
          <w:rFonts w:hint="eastAsia" w:ascii="宋体" w:hAnsi="宋体"/>
        </w:rPr>
      </w:pPr>
    </w:p>
    <w:p>
      <w:pPr>
        <w:rPr>
          <w:rFonts w:hint="eastAsia"/>
        </w:rPr>
      </w:pPr>
    </w:p>
    <w:p>
      <w:pPr>
        <w:tabs>
          <w:tab w:val="left" w:pos="7140"/>
        </w:tabs>
        <w:spacing w:line="360" w:lineRule="auto"/>
        <w:ind w:firstLine="840" w:firstLineChars="400"/>
        <w:rPr>
          <w:rFonts w:ascii="宋体"/>
          <w:szCs w:val="21"/>
        </w:rPr>
      </w:pPr>
      <w:r>
        <w:rPr>
          <w:rFonts w:ascii="宋体" w:hAnsi="宋体" w:cs="宋体"/>
          <w:szCs w:val="21"/>
        </w:rPr>
        <w:tab/>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spacing w:line="4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sectPr>
          <w:headerReference r:id="rId10" w:type="default"/>
          <w:footerReference r:id="rId11" w:type="default"/>
          <w:pgSz w:w="16838" w:h="11906" w:orient="landscape"/>
          <w:pgMar w:top="1797" w:right="1440" w:bottom="1797" w:left="1440" w:header="851" w:footer="992" w:gutter="0"/>
          <w:pgNumType w:fmt="numberInDash"/>
          <w:cols w:space="720" w:num="1"/>
          <w:docGrid w:type="linesAndChars" w:linePitch="312" w:charSpace="0"/>
        </w:sectPr>
      </w:pPr>
    </w:p>
    <w:p>
      <w:pPr>
        <w:pStyle w:val="2"/>
        <w:snapToGrid w:val="0"/>
        <w:spacing w:before="240" w:after="120" w:line="240" w:lineRule="auto"/>
        <w:jc w:val="center"/>
        <w:rPr>
          <w:rFonts w:ascii="宋体" w:hAnsi="宋体" w:eastAsia="宋体" w:cs="宋体"/>
          <w:bCs w:val="0"/>
          <w:sz w:val="24"/>
          <w:szCs w:val="24"/>
        </w:rPr>
      </w:pPr>
      <w:bookmarkStart w:id="536" w:name="_Toc16175994"/>
      <w:bookmarkStart w:id="537" w:name="_Toc22394"/>
      <w:r>
        <w:rPr>
          <w:rFonts w:hint="eastAsia" w:ascii="宋体" w:hAnsi="宋体" w:eastAsia="宋体" w:cs="宋体"/>
          <w:bCs w:val="0"/>
          <w:sz w:val="24"/>
          <w:szCs w:val="24"/>
        </w:rPr>
        <w:t>五、投标人综合概况表</w:t>
      </w:r>
      <w:bookmarkEnd w:id="536"/>
      <w:bookmarkEnd w:id="537"/>
    </w:p>
    <w:p>
      <w:pPr>
        <w:pStyle w:val="83"/>
        <w:ind w:firstLine="0" w:firstLineChars="0"/>
        <w:jc w:val="center"/>
        <w:rPr>
          <w:rFonts w:ascii="宋体" w:cs="宋体"/>
          <w:b/>
          <w:bCs/>
          <w:sz w:val="24"/>
        </w:rPr>
      </w:pPr>
    </w:p>
    <w:p>
      <w:pPr>
        <w:spacing w:line="360" w:lineRule="auto"/>
        <w:rPr>
          <w:rFonts w:hint="eastAsia" w:ascii="宋体" w:hAnsi="宋体" w:cs="宋体"/>
          <w:szCs w:val="21"/>
          <w:u w:val="single"/>
        </w:rPr>
      </w:pPr>
      <w:r>
        <w:rPr>
          <w:rFonts w:hint="eastAsia" w:ascii="宋体" w:hAnsi="宋体" w:cs="宋体"/>
          <w:szCs w:val="21"/>
        </w:rPr>
        <w:t>项目名称：</w:t>
      </w:r>
      <w:r>
        <w:rPr>
          <w:rFonts w:hint="eastAsia" w:ascii="宋体" w:hAnsi="宋体" w:cs="宋体"/>
          <w:bCs/>
          <w:szCs w:val="21"/>
          <w:u w:val="single"/>
        </w:rPr>
        <w:t>S103济枣线山亭区凫城至市中区曾店段改建工程商品混凝土采购</w:t>
      </w:r>
    </w:p>
    <w:p>
      <w:pPr>
        <w:spacing w:line="360" w:lineRule="auto"/>
        <w:rPr>
          <w:rFonts w:hint="eastAsia" w:ascii="宋体" w:cs="宋体"/>
          <w:sz w:val="22"/>
          <w:szCs w:val="22"/>
          <w:u w:val="single"/>
        </w:rPr>
      </w:pPr>
      <w:r>
        <w:rPr>
          <w:rFonts w:hint="eastAsia" w:ascii="宋体" w:hAnsi="宋体" w:cs="宋体"/>
          <w:szCs w:val="21"/>
        </w:rPr>
        <w:t>招标编号：</w:t>
      </w:r>
      <w:r>
        <w:rPr>
          <w:rFonts w:hint="eastAsia" w:ascii="宋体" w:hAnsi="宋体" w:cs="宋体"/>
          <w:szCs w:val="21"/>
          <w:u w:val="single"/>
        </w:rPr>
        <w:t>CGC2021-JS-CL-15</w:t>
      </w:r>
    </w:p>
    <w:tbl>
      <w:tblPr>
        <w:tblStyle w:val="39"/>
        <w:tblpPr w:leftFromText="180" w:rightFromText="180" w:vertAnchor="text" w:horzAnchor="margin" w:tblpXSpec="center" w:tblpY="47"/>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693"/>
        <w:gridCol w:w="721"/>
        <w:gridCol w:w="208"/>
        <w:gridCol w:w="2022"/>
        <w:gridCol w:w="290"/>
        <w:gridCol w:w="1270"/>
        <w:gridCol w:w="677"/>
        <w:gridCol w:w="223"/>
        <w:gridCol w:w="187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单位名称</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组织机构代码</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注册地址</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注册登记号</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单位性质</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pacing w:val="30"/>
                <w:szCs w:val="21"/>
              </w:rPr>
            </w:pPr>
            <w:r>
              <w:rPr>
                <w:rFonts w:hint="eastAsia" w:ascii="宋体" w:hAnsi="宋体" w:cs="宋体"/>
                <w:szCs w:val="21"/>
              </w:rPr>
              <w:t>税务登记证号</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经营范围</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pacing w:val="34"/>
                <w:szCs w:val="21"/>
              </w:rPr>
              <w:t>注册资本</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分支机构地址</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营业期限</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资质证号、范围和等级</w:t>
            </w:r>
          </w:p>
        </w:tc>
        <w:tc>
          <w:tcPr>
            <w:tcW w:w="6568" w:type="dxa"/>
            <w:gridSpan w:val="7"/>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tcBorders>
            <w:noWrap w:val="0"/>
            <w:vAlign w:val="center"/>
          </w:tcPr>
          <w:p>
            <w:pPr>
              <w:jc w:val="center"/>
              <w:rPr>
                <w:rFonts w:ascii="宋体" w:cs="宋体"/>
                <w:szCs w:val="21"/>
              </w:rPr>
            </w:pPr>
            <w:r>
              <w:rPr>
                <w:rFonts w:ascii="宋体" w:hAnsi="宋体" w:cs="宋体"/>
                <w:szCs w:val="21"/>
              </w:rPr>
              <w:t>ISO9000</w:t>
            </w:r>
            <w:r>
              <w:rPr>
                <w:rFonts w:hint="eastAsia" w:ascii="宋体" w:hAnsi="宋体" w:cs="宋体"/>
                <w:szCs w:val="21"/>
              </w:rPr>
              <w:t>认证号、范围</w:t>
            </w:r>
          </w:p>
        </w:tc>
        <w:tc>
          <w:tcPr>
            <w:tcW w:w="6568" w:type="dxa"/>
            <w:gridSpan w:val="7"/>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414" w:type="dxa"/>
            <w:gridSpan w:val="2"/>
            <w:tcBorders>
              <w:top w:val="single" w:color="auto" w:sz="4" w:space="0"/>
            </w:tcBorders>
            <w:noWrap w:val="0"/>
            <w:vAlign w:val="center"/>
          </w:tcPr>
          <w:p>
            <w:pPr>
              <w:jc w:val="center"/>
              <w:rPr>
                <w:rFonts w:ascii="宋体" w:cs="宋体"/>
                <w:szCs w:val="21"/>
              </w:rPr>
            </w:pPr>
            <w:r>
              <w:rPr>
                <w:rFonts w:hint="eastAsia" w:ascii="宋体" w:hAnsi="宋体" w:cs="宋体"/>
                <w:szCs w:val="21"/>
              </w:rPr>
              <w:t>其他资质证号、范围和等级</w:t>
            </w:r>
          </w:p>
        </w:tc>
        <w:tc>
          <w:tcPr>
            <w:tcW w:w="6568" w:type="dxa"/>
            <w:gridSpan w:val="7"/>
            <w:tcBorders>
              <w:top w:val="single" w:color="auto" w:sz="4" w:space="0"/>
              <w:left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414" w:type="dxa"/>
            <w:gridSpan w:val="2"/>
            <w:tcBorders>
              <w:top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员工数量</w:t>
            </w:r>
          </w:p>
        </w:tc>
        <w:tc>
          <w:tcPr>
            <w:tcW w:w="6568" w:type="dxa"/>
            <w:gridSpan w:val="7"/>
            <w:tcBorders>
              <w:top w:val="single" w:color="auto" w:sz="4" w:space="0"/>
              <w:left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共</w:t>
            </w:r>
            <w:r>
              <w:rPr>
                <w:rFonts w:ascii="宋体" w:hAnsi="宋体" w:cs="宋体"/>
                <w:szCs w:val="21"/>
                <w:u w:val="single"/>
              </w:rPr>
              <w:t xml:space="preserve">  </w:t>
            </w:r>
            <w:r>
              <w:rPr>
                <w:rFonts w:hint="eastAsia" w:ascii="宋体" w:hAnsi="宋体" w:cs="宋体"/>
                <w:szCs w:val="21"/>
              </w:rPr>
              <w:t>人，其中，高级职称</w:t>
            </w:r>
            <w:r>
              <w:rPr>
                <w:rFonts w:ascii="宋体" w:hAnsi="宋体" w:cs="宋体"/>
                <w:szCs w:val="21"/>
                <w:u w:val="single"/>
              </w:rPr>
              <w:t xml:space="preserve">   </w:t>
            </w:r>
            <w:r>
              <w:rPr>
                <w:rFonts w:hint="eastAsia" w:ascii="宋体" w:hAnsi="宋体" w:cs="宋体"/>
                <w:szCs w:val="21"/>
              </w:rPr>
              <w:t>人，中级职称</w:t>
            </w:r>
            <w:r>
              <w:rPr>
                <w:rFonts w:ascii="宋体" w:hAnsi="宋体" w:cs="宋体"/>
                <w:szCs w:val="21"/>
                <w:u w:val="single"/>
              </w:rPr>
              <w:t xml:space="preserve">  </w:t>
            </w:r>
            <w:r>
              <w:rPr>
                <w:rFonts w:hint="eastAsia" w:ascii="宋体" w:hAnsi="宋体" w:cs="宋体"/>
                <w:szCs w:val="21"/>
              </w:rPr>
              <w:t>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联络人</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手机号码</w:t>
            </w:r>
          </w:p>
        </w:tc>
        <w:tc>
          <w:tcPr>
            <w:tcW w:w="2778" w:type="dxa"/>
            <w:gridSpan w:val="3"/>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联系电话</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传真</w:t>
            </w:r>
          </w:p>
        </w:tc>
        <w:tc>
          <w:tcPr>
            <w:tcW w:w="2778" w:type="dxa"/>
            <w:gridSpan w:val="3"/>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82" w:type="dxa"/>
            <w:gridSpan w:val="9"/>
            <w:tcBorders>
              <w:top w:val="single" w:color="auto" w:sz="8" w:space="0"/>
              <w:bottom w:val="single" w:color="auto" w:sz="4" w:space="0"/>
            </w:tcBorders>
            <w:noWrap w:val="0"/>
            <w:vAlign w:val="center"/>
          </w:tcPr>
          <w:p>
            <w:pPr>
              <w:jc w:val="center"/>
              <w:rPr>
                <w:rFonts w:ascii="宋体" w:cs="宋体"/>
                <w:szCs w:val="21"/>
              </w:rPr>
            </w:pPr>
            <w:r>
              <w:rPr>
                <w:rFonts w:hint="eastAsia" w:ascii="宋体" w:hAnsi="宋体" w:cs="宋体"/>
                <w:szCs w:val="21"/>
              </w:rPr>
              <w:t>法</w:t>
            </w:r>
            <w:r>
              <w:rPr>
                <w:rFonts w:ascii="宋体" w:hAnsi="宋体" w:cs="宋体"/>
                <w:szCs w:val="21"/>
              </w:rPr>
              <w:t xml:space="preserve"> </w:t>
            </w:r>
            <w:r>
              <w:rPr>
                <w:rFonts w:hint="eastAsia" w:ascii="宋体" w:hAnsi="宋体" w:cs="宋体"/>
                <w:szCs w:val="21"/>
              </w:rPr>
              <w:t>定</w:t>
            </w:r>
            <w:r>
              <w:rPr>
                <w:rFonts w:ascii="宋体" w:hAnsi="宋体" w:cs="宋体"/>
                <w:szCs w:val="21"/>
              </w:rPr>
              <w:t xml:space="preserve"> </w:t>
            </w:r>
            <w:r>
              <w:rPr>
                <w:rFonts w:hint="eastAsia" w:ascii="宋体" w:hAnsi="宋体" w:cs="宋体"/>
                <w:szCs w:val="21"/>
              </w:rPr>
              <w:t>代</w:t>
            </w:r>
            <w:r>
              <w:rPr>
                <w:rFonts w:ascii="宋体" w:hAnsi="宋体" w:cs="宋体"/>
                <w:szCs w:val="21"/>
              </w:rPr>
              <w:t xml:space="preserve"> </w:t>
            </w:r>
            <w:r>
              <w:rPr>
                <w:rFonts w:hint="eastAsia" w:ascii="宋体" w:hAnsi="宋体" w:cs="宋体"/>
                <w:szCs w:val="21"/>
              </w:rPr>
              <w:t>表</w:t>
            </w:r>
            <w:r>
              <w:rPr>
                <w:rFonts w:ascii="宋体" w:hAnsi="宋体" w:cs="宋体"/>
                <w:szCs w:val="21"/>
              </w:rPr>
              <w:t xml:space="preserve"> </w:t>
            </w:r>
            <w:r>
              <w:rPr>
                <w:rFonts w:hint="eastAsia" w:ascii="宋体" w:hAnsi="宋体" w:cs="宋体"/>
                <w:szCs w:val="21"/>
              </w:rPr>
              <w:t>人</w:t>
            </w:r>
            <w:r>
              <w:rPr>
                <w:rFonts w:ascii="宋体" w:hAnsi="宋体" w:cs="宋体"/>
                <w:szCs w:val="21"/>
              </w:rPr>
              <w:t xml:space="preserve"> </w:t>
            </w:r>
            <w:r>
              <w:rPr>
                <w:rFonts w:hint="eastAsia" w:ascii="宋体" w:hAnsi="宋体" w:cs="宋体"/>
                <w:szCs w:val="21"/>
              </w:rPr>
              <w:t>基</w:t>
            </w:r>
            <w:r>
              <w:rPr>
                <w:rFonts w:ascii="宋体" w:hAnsi="宋体" w:cs="宋体"/>
                <w:szCs w:val="21"/>
              </w:rPr>
              <w:t xml:space="preserve"> </w:t>
            </w:r>
            <w:r>
              <w:rPr>
                <w:rFonts w:hint="eastAsia" w:ascii="宋体" w:hAnsi="宋体" w:cs="宋体"/>
                <w:szCs w:val="21"/>
              </w:rPr>
              <w:t>本</w:t>
            </w:r>
            <w:r>
              <w:rPr>
                <w:rFonts w:ascii="宋体" w:hAnsi="宋体" w:cs="宋体"/>
                <w:szCs w:val="21"/>
              </w:rPr>
              <w:t xml:space="preserve"> </w:t>
            </w:r>
            <w:r>
              <w:rPr>
                <w:rFonts w:hint="eastAsia" w:ascii="宋体" w:hAnsi="宋体" w:cs="宋体"/>
                <w:szCs w:val="21"/>
              </w:rPr>
              <w:t>情</w:t>
            </w:r>
            <w:r>
              <w:rPr>
                <w:rFonts w:ascii="宋体" w:hAnsi="宋体" w:cs="宋体"/>
                <w:szCs w:val="21"/>
              </w:rPr>
              <w:t xml:space="preserve"> </w:t>
            </w:r>
            <w:r>
              <w:rPr>
                <w:rFonts w:hint="eastAsia" w:ascii="宋体" w:hAnsi="宋体" w:cs="宋体"/>
                <w:szCs w:val="21"/>
              </w:rPr>
              <w:t>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姓</w:t>
            </w:r>
            <w:r>
              <w:rPr>
                <w:rFonts w:ascii="宋体" w:hAnsi="宋体" w:cs="宋体"/>
                <w:szCs w:val="21"/>
              </w:rPr>
              <w:t xml:space="preserve">  </w:t>
            </w:r>
            <w:r>
              <w:rPr>
                <w:rFonts w:hint="eastAsia" w:ascii="宋体" w:hAnsi="宋体" w:cs="宋体"/>
                <w:szCs w:val="21"/>
              </w:rPr>
              <w:t>名</w:t>
            </w:r>
          </w:p>
        </w:tc>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3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身份证号码</w:t>
            </w:r>
          </w:p>
        </w:tc>
        <w:tc>
          <w:tcPr>
            <w:tcW w:w="4048" w:type="dxa"/>
            <w:gridSpan w:val="4"/>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务</w:t>
            </w:r>
          </w:p>
        </w:tc>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3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称</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学</w:t>
            </w:r>
            <w:r>
              <w:rPr>
                <w:rFonts w:ascii="宋体" w:hAnsi="宋体" w:cs="宋体"/>
                <w:szCs w:val="21"/>
              </w:rPr>
              <w:t xml:space="preserve"> </w:t>
            </w:r>
            <w:r>
              <w:rPr>
                <w:rFonts w:hint="eastAsia" w:ascii="宋体" w:hAnsi="宋体" w:cs="宋体"/>
                <w:szCs w:val="21"/>
              </w:rPr>
              <w:t>历</w:t>
            </w:r>
          </w:p>
        </w:tc>
        <w:tc>
          <w:tcPr>
            <w:tcW w:w="1878" w:type="dxa"/>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1744" w:hRule="atLeast"/>
        </w:trPr>
        <w:tc>
          <w:tcPr>
            <w:tcW w:w="8982" w:type="dxa"/>
            <w:gridSpan w:val="9"/>
            <w:tcBorders>
              <w:top w:val="single" w:color="auto" w:sz="4" w:space="0"/>
              <w:bottom w:val="single" w:color="auto" w:sz="4" w:space="0"/>
              <w:right w:val="single" w:color="auto" w:sz="4" w:space="0"/>
            </w:tcBorders>
            <w:noWrap w:val="0"/>
            <w:vAlign w:val="center"/>
          </w:tcPr>
          <w:p>
            <w:pPr>
              <w:rPr>
                <w:rFonts w:ascii="宋体" w:cs="宋体"/>
                <w:szCs w:val="21"/>
              </w:rPr>
            </w:pPr>
            <w:r>
              <w:rPr>
                <w:rFonts w:hint="eastAsia" w:ascii="宋体" w:hAnsi="宋体" w:cs="宋体"/>
                <w:szCs w:val="21"/>
              </w:rPr>
              <w:t>投标单位简介（请简要说明公司情况，包括成立时间、业务范围、专业构成、规模）：</w:t>
            </w:r>
          </w:p>
          <w:p>
            <w:pPr>
              <w:rPr>
                <w:rFonts w:ascii="宋体" w:cs="宋体"/>
                <w:szCs w:val="21"/>
              </w:rPr>
            </w:pPr>
          </w:p>
          <w:p>
            <w:pPr>
              <w:rPr>
                <w:rFonts w:ascii="宋体" w:cs="宋体"/>
                <w:szCs w:val="21"/>
              </w:rPr>
            </w:pPr>
          </w:p>
          <w:p>
            <w:pPr>
              <w:ind w:firstLine="6090" w:firstLineChars="2900"/>
              <w:rPr>
                <w:rFonts w:ascii="宋体" w:cs="宋体"/>
                <w:szCs w:val="21"/>
              </w:rPr>
            </w:pPr>
            <w:r>
              <w:rPr>
                <w:rFonts w:hint="eastAsia" w:ascii="宋体" w:hAnsi="宋体" w:cs="宋体"/>
                <w:szCs w:val="21"/>
              </w:rPr>
              <w:t>（单位盖章）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1561" w:hRule="atLeast"/>
        </w:trPr>
        <w:tc>
          <w:tcPr>
            <w:tcW w:w="8982" w:type="dxa"/>
            <w:gridSpan w:val="9"/>
            <w:tcBorders>
              <w:top w:val="single" w:color="auto" w:sz="4" w:space="0"/>
              <w:bottom w:val="single" w:color="auto" w:sz="4" w:space="0"/>
              <w:right w:val="single" w:color="auto" w:sz="4" w:space="0"/>
            </w:tcBorders>
            <w:noWrap w:val="0"/>
            <w:vAlign w:val="top"/>
          </w:tcPr>
          <w:p>
            <w:pPr>
              <w:rPr>
                <w:rFonts w:ascii="宋体" w:cs="宋体"/>
                <w:szCs w:val="21"/>
              </w:rPr>
            </w:pPr>
            <w:r>
              <w:rPr>
                <w:rFonts w:hint="eastAsia" w:ascii="宋体" w:hAnsi="宋体" w:cs="宋体"/>
                <w:szCs w:val="21"/>
              </w:rPr>
              <w:t>投标单位完成本项目所独有的有利条件及相关的专业特长：</w:t>
            </w:r>
          </w:p>
        </w:tc>
      </w:tr>
    </w:tbl>
    <w:p>
      <w:pPr>
        <w:pStyle w:val="2"/>
        <w:snapToGrid w:val="0"/>
        <w:spacing w:before="240" w:after="120" w:line="240" w:lineRule="auto"/>
        <w:jc w:val="center"/>
        <w:rPr>
          <w:rFonts w:ascii="宋体" w:hAnsi="宋体" w:eastAsia="宋体" w:cs="宋体"/>
          <w:bCs w:val="0"/>
          <w:sz w:val="24"/>
          <w:szCs w:val="24"/>
        </w:rPr>
      </w:pPr>
      <w:r>
        <w:rPr>
          <w:rFonts w:ascii="宋体" w:hAnsi="宋体" w:eastAsia="宋体" w:cs="宋体"/>
          <w:bCs w:val="0"/>
          <w:sz w:val="24"/>
          <w:szCs w:val="24"/>
        </w:rPr>
        <w:br w:type="page"/>
      </w:r>
      <w:bookmarkStart w:id="538" w:name="_Toc25840"/>
      <w:bookmarkStart w:id="539" w:name="_Toc16175995"/>
      <w:r>
        <w:rPr>
          <w:rFonts w:hint="eastAsia" w:ascii="宋体" w:hAnsi="宋体" w:eastAsia="宋体" w:cs="宋体"/>
          <w:bCs w:val="0"/>
          <w:sz w:val="24"/>
          <w:szCs w:val="24"/>
        </w:rPr>
        <w:t>六、资格审查资料</w:t>
      </w:r>
      <w:bookmarkEnd w:id="538"/>
      <w:bookmarkEnd w:id="539"/>
    </w:p>
    <w:p>
      <w:pPr>
        <w:pStyle w:val="35"/>
        <w:shd w:val="clear" w:color="auto" w:fill="FFFFFF"/>
        <w:spacing w:before="0" w:beforeAutospacing="0" w:after="0" w:afterAutospacing="0" w:line="380" w:lineRule="exact"/>
        <w:ind w:firstLine="420" w:firstLineChars="200"/>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b/>
          <w:kern w:val="2"/>
          <w:sz w:val="21"/>
          <w:szCs w:val="21"/>
        </w:rPr>
        <w:t>投标文件中应附：营业执照、组织机构代码证、税务登记证（前述营业执照、组织机构代码证、税务登记证已三证合一的，则需提供具有统一社会信用代码的营业执照副本）、事业单位法人证书复印件并加盖单位公章。</w:t>
      </w:r>
    </w:p>
    <w:p>
      <w:pPr>
        <w:pStyle w:val="35"/>
        <w:shd w:val="clear" w:color="auto" w:fill="FFFFFF"/>
        <w:spacing w:before="0" w:beforeAutospacing="0" w:after="0" w:afterAutospacing="0" w:line="360" w:lineRule="auto"/>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spacing w:line="360" w:lineRule="auto"/>
        <w:ind w:firstLine="420" w:firstLineChars="200"/>
        <w:rPr>
          <w:rFonts w:ascii="宋体" w:hAnsi="宋体"/>
          <w:kern w:val="0"/>
          <w:szCs w:val="21"/>
        </w:rPr>
      </w:pPr>
      <w:r>
        <w:rPr>
          <w:rFonts w:hint="eastAsia" w:ascii="宋体" w:hAnsi="宋体"/>
          <w:kern w:val="0"/>
          <w:szCs w:val="21"/>
        </w:rPr>
        <w:t>3、投标人须为未被列入“信用中国”网站（</w:t>
      </w:r>
      <w:r>
        <w:rPr>
          <w:rFonts w:ascii="宋体" w:hAnsi="宋体"/>
          <w:kern w:val="0"/>
          <w:szCs w:val="21"/>
        </w:rPr>
        <w:t>www.creditchina.gov.cn</w:t>
      </w:r>
      <w:r>
        <w:rPr>
          <w:rFonts w:hint="eastAsia" w:ascii="宋体" w:hAnsi="宋体"/>
          <w:kern w:val="0"/>
          <w:szCs w:val="21"/>
        </w:rPr>
        <w:t>）记录失信被执行人或重大税收违法案件当事人名单或政府采购严重违法失信行为记录名单；不处于中国政府采购网（</w:t>
      </w:r>
      <w:r>
        <w:rPr>
          <w:rFonts w:ascii="宋体" w:hAnsi="宋体"/>
          <w:kern w:val="0"/>
          <w:szCs w:val="21"/>
        </w:rPr>
        <w:t>www.ccgp.gov.cn</w:t>
      </w:r>
      <w:r>
        <w:rPr>
          <w:rFonts w:hint="eastAsia" w:ascii="宋体" w:hAnsi="宋体"/>
          <w:kern w:val="0"/>
          <w:szCs w:val="21"/>
        </w:rPr>
        <w:t>）政府采购严重违法失信行为信息记录中的禁止参加政府采购活动期间等的方可参加本项目的投标。</w:t>
      </w:r>
      <w:r>
        <w:rPr>
          <w:rFonts w:hint="eastAsia"/>
          <w:szCs w:val="21"/>
        </w:rPr>
        <w:t>时间以投标截止日前五个工作日至投标截止日查询结果为准，投标人须将查询后的网页截图加盖单位公章后装入投标文件内，查询结果以开标当天现场查询结果为准</w:t>
      </w:r>
      <w:r>
        <w:rPr>
          <w:rFonts w:hint="eastAsia"/>
          <w:b/>
          <w:szCs w:val="21"/>
        </w:rPr>
        <w:t>。</w:t>
      </w:r>
    </w:p>
    <w:p>
      <w:pPr>
        <w:pStyle w:val="35"/>
        <w:shd w:val="clear" w:color="auto" w:fill="FFFFFF"/>
        <w:spacing w:before="0" w:beforeAutospacing="0" w:after="0" w:afterAutospacing="0" w:line="380" w:lineRule="exact"/>
        <w:ind w:firstLine="420" w:firstLineChars="200"/>
        <w:rPr>
          <w:rFonts w:hint="eastAsia"/>
          <w:b/>
          <w:szCs w:val="21"/>
        </w:rPr>
      </w:pPr>
      <w:r>
        <w:rPr>
          <w:rFonts w:hint="eastAsia" w:cs="Times New Roman"/>
          <w:kern w:val="2"/>
          <w:sz w:val="21"/>
          <w:szCs w:val="21"/>
        </w:rPr>
        <w:t>4、单位负责人为同一人或者存在控股、管理关系的不同单位，不得同时参加投标；</w:t>
      </w:r>
      <w:r>
        <w:rPr>
          <w:rFonts w:hint="eastAsia" w:cs="Times New Roman"/>
          <w:b/>
          <w:bCs/>
          <w:kern w:val="2"/>
          <w:sz w:val="21"/>
          <w:szCs w:val="21"/>
        </w:rPr>
        <w:t>投标文件中应附：相应承诺，格式自拟。</w:t>
      </w:r>
    </w:p>
    <w:p>
      <w:pPr>
        <w:pStyle w:val="35"/>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5、本项目不接受联合体投标。</w:t>
      </w:r>
    </w:p>
    <w:p>
      <w:pPr>
        <w:spacing w:line="360" w:lineRule="auto"/>
        <w:ind w:firstLine="420" w:firstLineChars="200"/>
      </w:pPr>
    </w:p>
    <w:p>
      <w:pPr>
        <w:pStyle w:val="35"/>
        <w:shd w:val="clear" w:color="auto" w:fill="FFFFFF"/>
        <w:spacing w:before="0" w:beforeAutospacing="0" w:after="0" w:afterAutospacing="0" w:line="360" w:lineRule="auto"/>
        <w:ind w:firstLine="420" w:firstLineChars="200"/>
        <w:rPr>
          <w:rFonts w:hint="eastAsia" w:cs="Times New Roman"/>
          <w:kern w:val="2"/>
          <w:sz w:val="21"/>
          <w:szCs w:val="21"/>
        </w:rPr>
      </w:pPr>
    </w:p>
    <w:p>
      <w:pPr>
        <w:spacing w:line="360" w:lineRule="auto"/>
        <w:ind w:firstLine="422" w:firstLineChars="200"/>
        <w:rPr>
          <w:rFonts w:hint="eastAsia" w:ascii="宋体"/>
          <w:b/>
          <w:szCs w:val="21"/>
        </w:rPr>
      </w:pPr>
      <w:r>
        <w:rPr>
          <w:rFonts w:hint="eastAsia"/>
          <w:b/>
          <w:szCs w:val="21"/>
        </w:rPr>
        <w:t>网页截图图例如下：</w:t>
      </w: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r>
        <w:rPr>
          <w:rFonts w:hint="eastAsia" w:ascii="宋体"/>
          <w:b/>
          <w:szCs w:val="21"/>
        </w:rPr>
        <w:t xml:space="preserve">图例1： </w:t>
      </w:r>
    </w:p>
    <w:p>
      <w:pPr>
        <w:spacing w:line="360" w:lineRule="auto"/>
        <w:ind w:firstLine="422" w:firstLineChars="200"/>
        <w:rPr>
          <w:rFonts w:hint="eastAsia" w:ascii="宋体"/>
          <w:b/>
          <w:szCs w:val="21"/>
        </w:rPr>
      </w:pPr>
      <w:r>
        <w:rPr>
          <w:rFonts w:hint="eastAsia" w:ascii="宋体"/>
          <w:b/>
          <w:szCs w:val="21"/>
        </w:rPr>
        <w:drawing>
          <wp:inline distT="0" distB="0" distL="114300" distR="114300">
            <wp:extent cx="5057775" cy="7115175"/>
            <wp:effectExtent l="0" t="0" r="9525" b="9525"/>
            <wp:docPr id="7" name="图片 1" descr="微信图片_2020031810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00318102758"/>
                    <pic:cNvPicPr>
                      <a:picLocks noChangeAspect="1"/>
                    </pic:cNvPicPr>
                  </pic:nvPicPr>
                  <pic:blipFill>
                    <a:blip r:embed="rId17"/>
                    <a:stretch>
                      <a:fillRect/>
                    </a:stretch>
                  </pic:blipFill>
                  <pic:spPr>
                    <a:xfrm>
                      <a:off x="0" y="0"/>
                      <a:ext cx="5057775" cy="7115175"/>
                    </a:xfrm>
                    <a:prstGeom prst="rect">
                      <a:avLst/>
                    </a:prstGeom>
                    <a:noFill/>
                    <a:ln>
                      <a:noFill/>
                    </a:ln>
                  </pic:spPr>
                </pic:pic>
              </a:graphicData>
            </a:graphic>
          </wp:inline>
        </w:drawing>
      </w:r>
      <w:r>
        <w:rPr>
          <w:rFonts w:hint="eastAsia" w:ascii="宋体"/>
          <w:b/>
          <w:szCs w:val="21"/>
        </w:rPr>
        <w:drawing>
          <wp:inline distT="0" distB="0" distL="114300" distR="114300">
            <wp:extent cx="5274310" cy="3795395"/>
            <wp:effectExtent l="0" t="0" r="2540" b="14605"/>
            <wp:docPr id="8" name="图片 2" descr="微信图片_2020031810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图片_20200318102803"/>
                    <pic:cNvPicPr>
                      <a:picLocks noChangeAspect="1"/>
                    </pic:cNvPicPr>
                  </pic:nvPicPr>
                  <pic:blipFill>
                    <a:blip r:embed="rId18"/>
                    <a:stretch>
                      <a:fillRect/>
                    </a:stretch>
                  </pic:blipFill>
                  <pic:spPr>
                    <a:xfrm>
                      <a:off x="0" y="0"/>
                      <a:ext cx="5274310" cy="3795395"/>
                    </a:xfrm>
                    <a:prstGeom prst="rect">
                      <a:avLst/>
                    </a:prstGeom>
                    <a:noFill/>
                    <a:ln>
                      <a:noFill/>
                    </a:ln>
                  </pic:spPr>
                </pic:pic>
              </a:graphicData>
            </a:graphic>
          </wp:inline>
        </w:drawing>
      </w:r>
    </w:p>
    <w:p>
      <w:pPr>
        <w:spacing w:line="360" w:lineRule="auto"/>
        <w:rPr>
          <w:rFonts w:hint="eastAsia" w:ascii="宋体"/>
          <w:b/>
          <w:szCs w:val="21"/>
        </w:rPr>
      </w:pPr>
    </w:p>
    <w:p>
      <w:pPr>
        <w:spacing w:line="360" w:lineRule="auto"/>
        <w:rPr>
          <w:rFonts w:ascii="宋体"/>
          <w:b/>
          <w:szCs w:val="21"/>
        </w:rPr>
      </w:pPr>
      <w:r>
        <w:rPr>
          <w:rFonts w:hint="eastAsia" w:ascii="宋体"/>
          <w:b/>
          <w:szCs w:val="21"/>
        </w:rPr>
        <w:t>图例2：</w:t>
      </w:r>
    </w:p>
    <w:p>
      <w:pPr>
        <w:topLinePunct/>
        <w:adjustRightInd w:val="0"/>
        <w:snapToGrid w:val="0"/>
        <w:spacing w:line="440" w:lineRule="exact"/>
        <w:rPr>
          <w:rFonts w:ascii="宋体"/>
          <w:szCs w:val="21"/>
        </w:rPr>
      </w:pPr>
      <w:r>
        <w:drawing>
          <wp:anchor distT="0" distB="0" distL="114300" distR="114300" simplePos="0" relativeHeight="251659264" behindDoc="0" locked="0" layoutInCell="1" allowOverlap="1">
            <wp:simplePos x="0" y="0"/>
            <wp:positionH relativeFrom="column">
              <wp:posOffset>-421005</wp:posOffset>
            </wp:positionH>
            <wp:positionV relativeFrom="paragraph">
              <wp:posOffset>116840</wp:posOffset>
            </wp:positionV>
            <wp:extent cx="6057900" cy="3803015"/>
            <wp:effectExtent l="0" t="0" r="0" b="6985"/>
            <wp:wrapSquare wrapText="bothSides"/>
            <wp:docPr id="1" name="图片 10" descr="政府采购网截图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政府采购网截图图例"/>
                    <pic:cNvPicPr>
                      <a:picLocks noChangeAspect="1"/>
                    </pic:cNvPicPr>
                  </pic:nvPicPr>
                  <pic:blipFill>
                    <a:blip r:embed="rId19"/>
                    <a:stretch>
                      <a:fillRect/>
                    </a:stretch>
                  </pic:blipFill>
                  <pic:spPr>
                    <a:xfrm>
                      <a:off x="0" y="0"/>
                      <a:ext cx="6057900" cy="3803015"/>
                    </a:xfrm>
                    <a:prstGeom prst="rect">
                      <a:avLst/>
                    </a:prstGeom>
                    <a:noFill/>
                    <a:ln>
                      <a:noFill/>
                    </a:ln>
                  </pic:spPr>
                </pic:pic>
              </a:graphicData>
            </a:graphic>
          </wp:anchor>
        </w:drawing>
      </w:r>
    </w:p>
    <w:p>
      <w:pPr>
        <w:topLinePunct/>
        <w:adjustRightInd w:val="0"/>
        <w:snapToGrid w:val="0"/>
        <w:spacing w:line="440" w:lineRule="exact"/>
        <w:rPr>
          <w:rFonts w:ascii="宋体"/>
          <w:szCs w:val="21"/>
        </w:rPr>
        <w:sectPr>
          <w:headerReference r:id="rId12" w:type="default"/>
          <w:pgSz w:w="11906" w:h="16838"/>
          <w:pgMar w:top="1440" w:right="1800" w:bottom="1440" w:left="1800" w:header="851" w:footer="992" w:gutter="0"/>
          <w:pgNumType w:fmt="numberInDash"/>
          <w:cols w:space="720" w:num="1"/>
          <w:docGrid w:type="lines" w:linePitch="312" w:charSpace="0"/>
        </w:sectPr>
      </w:pPr>
    </w:p>
    <w:bookmarkEnd w:id="534"/>
    <w:bookmarkEnd w:id="535"/>
    <w:p>
      <w:pPr>
        <w:pStyle w:val="2"/>
        <w:snapToGrid w:val="0"/>
        <w:spacing w:before="240" w:after="120" w:line="240" w:lineRule="auto"/>
        <w:jc w:val="center"/>
        <w:rPr>
          <w:rFonts w:ascii="宋体" w:hAnsi="宋体" w:eastAsia="宋体" w:cs="宋体"/>
          <w:bCs w:val="0"/>
          <w:sz w:val="24"/>
          <w:szCs w:val="24"/>
        </w:rPr>
      </w:pPr>
      <w:bookmarkStart w:id="540" w:name="_Toc16175996"/>
      <w:bookmarkStart w:id="541" w:name="_Toc3631"/>
      <w:bookmarkStart w:id="542" w:name="_Toc447265610"/>
      <w:bookmarkStart w:id="543" w:name="_Toc447265324"/>
      <w:r>
        <w:rPr>
          <w:rFonts w:hint="eastAsia" w:ascii="宋体" w:hAnsi="宋体" w:eastAsia="宋体" w:cs="宋体"/>
          <w:bCs w:val="0"/>
          <w:sz w:val="24"/>
          <w:szCs w:val="24"/>
        </w:rPr>
        <w:t>七、近三年（</w:t>
      </w:r>
      <w:r>
        <w:rPr>
          <w:rFonts w:ascii="宋体" w:hAnsi="宋体" w:eastAsia="宋体" w:cs="宋体"/>
          <w:bCs w:val="0"/>
          <w:sz w:val="24"/>
          <w:szCs w:val="24"/>
        </w:rPr>
        <w:t>201</w:t>
      </w:r>
      <w:r>
        <w:rPr>
          <w:rFonts w:hint="eastAsia" w:ascii="宋体" w:hAnsi="宋体" w:eastAsia="宋体" w:cs="宋体"/>
          <w:bCs w:val="0"/>
          <w:sz w:val="24"/>
          <w:szCs w:val="24"/>
        </w:rPr>
        <w:t>8年1</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月－2021年1</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月）业绩情况表</w:t>
      </w:r>
      <w:bookmarkEnd w:id="540"/>
      <w:bookmarkEnd w:id="541"/>
    </w:p>
    <w:p>
      <w:pPr>
        <w:pStyle w:val="83"/>
        <w:ind w:firstLine="0" w:firstLineChars="0"/>
        <w:jc w:val="center"/>
        <w:rPr>
          <w:rFonts w:ascii="宋体"/>
          <w:b/>
          <w:sz w:val="24"/>
        </w:rPr>
      </w:pPr>
    </w:p>
    <w:p>
      <w:pPr>
        <w:spacing w:line="360" w:lineRule="auto"/>
        <w:rPr>
          <w:rFonts w:hint="eastAsia" w:ascii="宋体" w:cs="宋体"/>
          <w:szCs w:val="21"/>
          <w:u w:val="single"/>
        </w:rPr>
      </w:pPr>
      <w:r>
        <w:rPr>
          <w:rFonts w:hint="eastAsia" w:ascii="宋体" w:hAnsi="宋体" w:cs="宋体"/>
          <w:szCs w:val="21"/>
        </w:rPr>
        <w:t>项目名称：</w:t>
      </w:r>
      <w:r>
        <w:rPr>
          <w:rFonts w:hint="eastAsia" w:ascii="宋体" w:hAnsi="宋体" w:cs="宋体"/>
          <w:bCs/>
          <w:szCs w:val="21"/>
          <w:u w:val="single"/>
        </w:rPr>
        <w:t>S103济枣线山亭区凫城至市中区曾店段改建工程商品混凝土采购</w:t>
      </w:r>
      <w:r>
        <w:rPr>
          <w:rFonts w:ascii="宋体" w:hAnsi="宋体" w:cs="宋体"/>
          <w:szCs w:val="21"/>
        </w:rPr>
        <w:t xml:space="preserve">                                 </w:t>
      </w:r>
      <w:r>
        <w:rPr>
          <w:rFonts w:hint="eastAsia" w:ascii="宋体" w:hAnsi="宋体" w:cs="宋体"/>
          <w:szCs w:val="21"/>
        </w:rPr>
        <w:t xml:space="preserve">        招标编号：</w:t>
      </w:r>
      <w:r>
        <w:rPr>
          <w:rFonts w:hint="eastAsia" w:ascii="宋体" w:hAnsi="宋体" w:cs="宋体"/>
          <w:szCs w:val="21"/>
          <w:u w:val="single"/>
        </w:rPr>
        <w:t>CGC2021-JS-CL-15</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40"/>
        <w:gridCol w:w="2006"/>
        <w:gridCol w:w="1838"/>
        <w:gridCol w:w="1336"/>
        <w:gridCol w:w="1671"/>
        <w:gridCol w:w="1670"/>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noWrap w:val="0"/>
            <w:vAlign w:val="center"/>
          </w:tcPr>
          <w:p>
            <w:pPr>
              <w:jc w:val="center"/>
              <w:rPr>
                <w:rFonts w:ascii="宋体" w:cs="宋体"/>
                <w:szCs w:val="21"/>
              </w:rPr>
            </w:pPr>
            <w:r>
              <w:rPr>
                <w:rFonts w:hint="eastAsia" w:ascii="宋体" w:hAnsi="宋体" w:cs="宋体"/>
                <w:szCs w:val="21"/>
              </w:rPr>
              <w:t>序号</w:t>
            </w:r>
          </w:p>
        </w:tc>
        <w:tc>
          <w:tcPr>
            <w:tcW w:w="2340" w:type="dxa"/>
            <w:noWrap w:val="0"/>
            <w:vAlign w:val="center"/>
          </w:tcPr>
          <w:p>
            <w:pPr>
              <w:jc w:val="center"/>
              <w:rPr>
                <w:rFonts w:ascii="宋体" w:cs="宋体"/>
                <w:szCs w:val="21"/>
              </w:rPr>
            </w:pPr>
            <w:r>
              <w:rPr>
                <w:rFonts w:hint="eastAsia" w:ascii="宋体" w:hAnsi="宋体" w:cs="宋体"/>
                <w:szCs w:val="21"/>
              </w:rPr>
              <w:t>业绩名称</w:t>
            </w:r>
          </w:p>
        </w:tc>
        <w:tc>
          <w:tcPr>
            <w:tcW w:w="2006" w:type="dxa"/>
            <w:noWrap w:val="0"/>
            <w:vAlign w:val="center"/>
          </w:tcPr>
          <w:p>
            <w:pPr>
              <w:jc w:val="center"/>
              <w:rPr>
                <w:rFonts w:ascii="宋体" w:cs="宋体"/>
                <w:szCs w:val="21"/>
              </w:rPr>
            </w:pPr>
            <w:r>
              <w:rPr>
                <w:rFonts w:hint="eastAsia" w:ascii="宋体" w:hAnsi="宋体" w:cs="宋体"/>
                <w:szCs w:val="21"/>
              </w:rPr>
              <w:t>业绩简介</w:t>
            </w:r>
          </w:p>
        </w:tc>
        <w:tc>
          <w:tcPr>
            <w:tcW w:w="1838" w:type="dxa"/>
            <w:noWrap w:val="0"/>
            <w:vAlign w:val="center"/>
          </w:tcPr>
          <w:p>
            <w:pPr>
              <w:jc w:val="center"/>
              <w:rPr>
                <w:rFonts w:ascii="宋体" w:cs="宋体"/>
                <w:szCs w:val="21"/>
              </w:rPr>
            </w:pPr>
            <w:r>
              <w:rPr>
                <w:rFonts w:hint="eastAsia" w:ascii="宋体" w:hAnsi="宋体" w:cs="宋体"/>
                <w:szCs w:val="21"/>
              </w:rPr>
              <w:t>合同签订时间</w:t>
            </w:r>
          </w:p>
        </w:tc>
        <w:tc>
          <w:tcPr>
            <w:tcW w:w="1336" w:type="dxa"/>
            <w:noWrap w:val="0"/>
            <w:vAlign w:val="center"/>
          </w:tcPr>
          <w:p>
            <w:pPr>
              <w:jc w:val="center"/>
              <w:rPr>
                <w:rFonts w:ascii="宋体" w:cs="宋体"/>
                <w:szCs w:val="21"/>
              </w:rPr>
            </w:pPr>
            <w:r>
              <w:rPr>
                <w:rFonts w:hint="eastAsia" w:ascii="宋体" w:hAnsi="宋体" w:cs="宋体"/>
                <w:szCs w:val="21"/>
              </w:rPr>
              <w:t>合同金额（万元）</w:t>
            </w:r>
          </w:p>
        </w:tc>
        <w:tc>
          <w:tcPr>
            <w:tcW w:w="1671" w:type="dxa"/>
            <w:noWrap w:val="0"/>
            <w:vAlign w:val="center"/>
          </w:tcPr>
          <w:p>
            <w:pPr>
              <w:jc w:val="center"/>
              <w:rPr>
                <w:rFonts w:ascii="宋体" w:cs="宋体"/>
                <w:szCs w:val="21"/>
              </w:rPr>
            </w:pPr>
            <w:r>
              <w:rPr>
                <w:rFonts w:hint="eastAsia" w:ascii="宋体" w:hAnsi="宋体" w:cs="宋体"/>
                <w:szCs w:val="21"/>
              </w:rPr>
              <w:t>合同中标方</w:t>
            </w:r>
          </w:p>
        </w:tc>
        <w:tc>
          <w:tcPr>
            <w:tcW w:w="1670" w:type="dxa"/>
            <w:noWrap w:val="0"/>
            <w:vAlign w:val="center"/>
          </w:tcPr>
          <w:p>
            <w:pPr>
              <w:jc w:val="center"/>
              <w:rPr>
                <w:rFonts w:ascii="宋体" w:cs="宋体"/>
                <w:szCs w:val="21"/>
              </w:rPr>
            </w:pPr>
            <w:r>
              <w:rPr>
                <w:rFonts w:hint="eastAsia" w:ascii="宋体" w:hAnsi="宋体" w:cs="宋体"/>
                <w:szCs w:val="21"/>
              </w:rPr>
              <w:t>合同招标方</w:t>
            </w:r>
          </w:p>
        </w:tc>
        <w:tc>
          <w:tcPr>
            <w:tcW w:w="1278" w:type="dxa"/>
            <w:noWrap w:val="0"/>
            <w:vAlign w:val="center"/>
          </w:tcPr>
          <w:p>
            <w:pPr>
              <w:jc w:val="center"/>
              <w:rPr>
                <w:rFonts w:ascii="宋体" w:cs="宋体"/>
                <w:szCs w:val="21"/>
              </w:rPr>
            </w:pPr>
            <w:r>
              <w:rPr>
                <w:rFonts w:hint="eastAsia" w:ascii="宋体" w:hAnsi="宋体" w:cs="宋体"/>
                <w:szCs w:val="21"/>
              </w:rPr>
              <w:t>项目完成情况</w:t>
            </w:r>
          </w:p>
        </w:tc>
        <w:tc>
          <w:tcPr>
            <w:tcW w:w="1278" w:type="dxa"/>
            <w:noWrap w:val="0"/>
            <w:vAlign w:val="center"/>
          </w:tcPr>
          <w:p>
            <w:pPr>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6" w:type="dxa"/>
            <w:noWrap w:val="0"/>
            <w:vAlign w:val="top"/>
          </w:tcPr>
          <w:p>
            <w:pPr>
              <w:spacing w:before="156" w:beforeLines="50" w:line="520" w:lineRule="exact"/>
              <w:jc w:val="center"/>
              <w:rPr>
                <w:rFonts w:ascii="宋体" w:cs="宋体"/>
                <w:szCs w:val="21"/>
              </w:rPr>
            </w:pPr>
          </w:p>
        </w:tc>
        <w:tc>
          <w:tcPr>
            <w:tcW w:w="2340" w:type="dxa"/>
            <w:noWrap w:val="0"/>
            <w:vAlign w:val="top"/>
          </w:tcPr>
          <w:p>
            <w:pPr>
              <w:spacing w:before="156" w:beforeLines="50" w:line="520" w:lineRule="exact"/>
              <w:jc w:val="center"/>
              <w:rPr>
                <w:rFonts w:ascii="宋体" w:cs="宋体"/>
                <w:szCs w:val="21"/>
              </w:rPr>
            </w:pPr>
          </w:p>
        </w:tc>
        <w:tc>
          <w:tcPr>
            <w:tcW w:w="2006" w:type="dxa"/>
            <w:noWrap w:val="0"/>
            <w:vAlign w:val="top"/>
          </w:tcPr>
          <w:p>
            <w:pPr>
              <w:spacing w:before="156" w:beforeLines="50" w:line="520" w:lineRule="exact"/>
              <w:jc w:val="center"/>
              <w:rPr>
                <w:rFonts w:ascii="宋体" w:cs="宋体"/>
                <w:szCs w:val="21"/>
              </w:rPr>
            </w:pPr>
          </w:p>
        </w:tc>
        <w:tc>
          <w:tcPr>
            <w:tcW w:w="1838" w:type="dxa"/>
            <w:noWrap w:val="0"/>
            <w:vAlign w:val="top"/>
          </w:tcPr>
          <w:p>
            <w:pPr>
              <w:spacing w:before="156" w:beforeLines="50" w:line="520" w:lineRule="exact"/>
              <w:jc w:val="center"/>
              <w:rPr>
                <w:rFonts w:ascii="宋体" w:cs="宋体"/>
                <w:szCs w:val="21"/>
              </w:rPr>
            </w:pPr>
          </w:p>
        </w:tc>
        <w:tc>
          <w:tcPr>
            <w:tcW w:w="1336" w:type="dxa"/>
            <w:noWrap w:val="0"/>
            <w:vAlign w:val="top"/>
          </w:tcPr>
          <w:p>
            <w:pPr>
              <w:spacing w:before="156" w:beforeLines="50" w:line="520" w:lineRule="exact"/>
              <w:jc w:val="center"/>
              <w:rPr>
                <w:rFonts w:ascii="宋体" w:cs="宋体"/>
                <w:szCs w:val="21"/>
              </w:rPr>
            </w:pPr>
          </w:p>
        </w:tc>
        <w:tc>
          <w:tcPr>
            <w:tcW w:w="1671" w:type="dxa"/>
            <w:noWrap w:val="0"/>
            <w:vAlign w:val="top"/>
          </w:tcPr>
          <w:p>
            <w:pPr>
              <w:spacing w:before="156" w:beforeLines="50" w:line="520" w:lineRule="exact"/>
              <w:jc w:val="center"/>
              <w:rPr>
                <w:rFonts w:ascii="宋体" w:cs="宋体"/>
                <w:szCs w:val="21"/>
              </w:rPr>
            </w:pPr>
          </w:p>
        </w:tc>
        <w:tc>
          <w:tcPr>
            <w:tcW w:w="1670" w:type="dxa"/>
            <w:noWrap w:val="0"/>
            <w:vAlign w:val="top"/>
          </w:tcPr>
          <w:p>
            <w:pPr>
              <w:spacing w:before="156" w:beforeLines="50" w:line="520" w:lineRule="exact"/>
              <w:jc w:val="center"/>
              <w:rPr>
                <w:rFonts w:ascii="宋体" w:cs="宋体"/>
                <w:szCs w:val="21"/>
              </w:rPr>
            </w:pPr>
          </w:p>
        </w:tc>
        <w:tc>
          <w:tcPr>
            <w:tcW w:w="1278" w:type="dxa"/>
            <w:noWrap w:val="0"/>
            <w:vAlign w:val="center"/>
          </w:tcPr>
          <w:p>
            <w:pPr>
              <w:spacing w:before="156" w:beforeLines="50" w:line="520" w:lineRule="exact"/>
              <w:jc w:val="center"/>
              <w:rPr>
                <w:rFonts w:ascii="宋体" w:cs="宋体"/>
                <w:szCs w:val="21"/>
              </w:rPr>
            </w:pPr>
          </w:p>
        </w:tc>
        <w:tc>
          <w:tcPr>
            <w:tcW w:w="1278" w:type="dxa"/>
            <w:noWrap w:val="0"/>
            <w:vAlign w:val="top"/>
          </w:tcPr>
          <w:p>
            <w:pPr>
              <w:spacing w:before="156" w:beforeLines="50" w:line="520" w:lineRule="exact"/>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Cs w:val="21"/>
              </w:rPr>
            </w:pPr>
          </w:p>
        </w:tc>
        <w:tc>
          <w:tcPr>
            <w:tcW w:w="2340" w:type="dxa"/>
            <w:noWrap w:val="0"/>
            <w:vAlign w:val="top"/>
          </w:tcPr>
          <w:p>
            <w:pPr>
              <w:spacing w:before="156" w:beforeLines="50" w:line="520" w:lineRule="exact"/>
              <w:jc w:val="center"/>
              <w:rPr>
                <w:rFonts w:ascii="宋体" w:cs="宋体"/>
                <w:szCs w:val="21"/>
              </w:rPr>
            </w:pPr>
          </w:p>
        </w:tc>
        <w:tc>
          <w:tcPr>
            <w:tcW w:w="2006" w:type="dxa"/>
            <w:noWrap w:val="0"/>
            <w:vAlign w:val="top"/>
          </w:tcPr>
          <w:p>
            <w:pPr>
              <w:spacing w:before="156" w:beforeLines="50" w:line="520" w:lineRule="exact"/>
              <w:jc w:val="center"/>
              <w:rPr>
                <w:rFonts w:ascii="宋体" w:cs="宋体"/>
                <w:szCs w:val="21"/>
              </w:rPr>
            </w:pPr>
          </w:p>
        </w:tc>
        <w:tc>
          <w:tcPr>
            <w:tcW w:w="1838" w:type="dxa"/>
            <w:noWrap w:val="0"/>
            <w:vAlign w:val="top"/>
          </w:tcPr>
          <w:p>
            <w:pPr>
              <w:spacing w:before="156" w:beforeLines="50" w:line="520" w:lineRule="exact"/>
              <w:jc w:val="center"/>
              <w:rPr>
                <w:rFonts w:ascii="宋体" w:cs="宋体"/>
                <w:szCs w:val="21"/>
              </w:rPr>
            </w:pPr>
          </w:p>
        </w:tc>
        <w:tc>
          <w:tcPr>
            <w:tcW w:w="1336" w:type="dxa"/>
            <w:noWrap w:val="0"/>
            <w:vAlign w:val="top"/>
          </w:tcPr>
          <w:p>
            <w:pPr>
              <w:spacing w:before="156" w:beforeLines="50" w:line="520" w:lineRule="exact"/>
              <w:jc w:val="center"/>
              <w:rPr>
                <w:rFonts w:ascii="宋体" w:cs="宋体"/>
                <w:szCs w:val="21"/>
              </w:rPr>
            </w:pPr>
          </w:p>
        </w:tc>
        <w:tc>
          <w:tcPr>
            <w:tcW w:w="1671" w:type="dxa"/>
            <w:noWrap w:val="0"/>
            <w:vAlign w:val="top"/>
          </w:tcPr>
          <w:p>
            <w:pPr>
              <w:spacing w:before="156" w:beforeLines="50" w:line="520" w:lineRule="exact"/>
              <w:jc w:val="center"/>
              <w:rPr>
                <w:rFonts w:ascii="宋体" w:cs="宋体"/>
                <w:szCs w:val="21"/>
              </w:rPr>
            </w:pPr>
          </w:p>
        </w:tc>
        <w:tc>
          <w:tcPr>
            <w:tcW w:w="1670" w:type="dxa"/>
            <w:noWrap w:val="0"/>
            <w:vAlign w:val="top"/>
          </w:tcPr>
          <w:p>
            <w:pPr>
              <w:spacing w:before="156" w:beforeLines="50" w:line="520" w:lineRule="exact"/>
              <w:jc w:val="center"/>
              <w:rPr>
                <w:rFonts w:ascii="宋体" w:cs="宋体"/>
                <w:szCs w:val="21"/>
              </w:rPr>
            </w:pPr>
          </w:p>
        </w:tc>
        <w:tc>
          <w:tcPr>
            <w:tcW w:w="1278" w:type="dxa"/>
            <w:noWrap w:val="0"/>
            <w:vAlign w:val="center"/>
          </w:tcPr>
          <w:p>
            <w:pPr>
              <w:spacing w:before="156" w:beforeLines="50" w:line="520" w:lineRule="exact"/>
              <w:jc w:val="center"/>
              <w:rPr>
                <w:rFonts w:ascii="宋体" w:cs="宋体"/>
                <w:szCs w:val="21"/>
              </w:rPr>
            </w:pPr>
          </w:p>
        </w:tc>
        <w:tc>
          <w:tcPr>
            <w:tcW w:w="1278" w:type="dxa"/>
            <w:noWrap w:val="0"/>
            <w:vAlign w:val="top"/>
          </w:tcPr>
          <w:p>
            <w:pPr>
              <w:spacing w:before="156" w:beforeLines="50" w:line="520" w:lineRule="exact"/>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Cs w:val="21"/>
              </w:rPr>
            </w:pPr>
          </w:p>
        </w:tc>
        <w:tc>
          <w:tcPr>
            <w:tcW w:w="2340" w:type="dxa"/>
            <w:noWrap w:val="0"/>
            <w:vAlign w:val="top"/>
          </w:tcPr>
          <w:p>
            <w:pPr>
              <w:spacing w:before="156" w:beforeLines="50" w:line="520" w:lineRule="exact"/>
              <w:jc w:val="center"/>
              <w:rPr>
                <w:rFonts w:ascii="宋体" w:cs="宋体"/>
                <w:szCs w:val="21"/>
              </w:rPr>
            </w:pPr>
          </w:p>
        </w:tc>
        <w:tc>
          <w:tcPr>
            <w:tcW w:w="2006" w:type="dxa"/>
            <w:noWrap w:val="0"/>
            <w:vAlign w:val="top"/>
          </w:tcPr>
          <w:p>
            <w:pPr>
              <w:spacing w:before="156" w:beforeLines="50" w:line="520" w:lineRule="exact"/>
              <w:jc w:val="center"/>
              <w:rPr>
                <w:rFonts w:ascii="宋体" w:cs="宋体"/>
                <w:szCs w:val="21"/>
              </w:rPr>
            </w:pPr>
          </w:p>
        </w:tc>
        <w:tc>
          <w:tcPr>
            <w:tcW w:w="1838" w:type="dxa"/>
            <w:noWrap w:val="0"/>
            <w:vAlign w:val="top"/>
          </w:tcPr>
          <w:p>
            <w:pPr>
              <w:spacing w:before="156" w:beforeLines="50" w:line="520" w:lineRule="exact"/>
              <w:jc w:val="center"/>
              <w:rPr>
                <w:rFonts w:ascii="宋体" w:cs="宋体"/>
                <w:szCs w:val="21"/>
              </w:rPr>
            </w:pPr>
          </w:p>
        </w:tc>
        <w:tc>
          <w:tcPr>
            <w:tcW w:w="1336" w:type="dxa"/>
            <w:noWrap w:val="0"/>
            <w:vAlign w:val="top"/>
          </w:tcPr>
          <w:p>
            <w:pPr>
              <w:spacing w:before="156" w:beforeLines="50" w:line="520" w:lineRule="exact"/>
              <w:jc w:val="center"/>
              <w:rPr>
                <w:rFonts w:ascii="宋体" w:cs="宋体"/>
                <w:szCs w:val="21"/>
              </w:rPr>
            </w:pPr>
          </w:p>
        </w:tc>
        <w:tc>
          <w:tcPr>
            <w:tcW w:w="1671" w:type="dxa"/>
            <w:noWrap w:val="0"/>
            <w:vAlign w:val="top"/>
          </w:tcPr>
          <w:p>
            <w:pPr>
              <w:spacing w:before="156" w:beforeLines="50" w:line="520" w:lineRule="exact"/>
              <w:jc w:val="center"/>
              <w:rPr>
                <w:rFonts w:ascii="宋体" w:cs="宋体"/>
                <w:szCs w:val="21"/>
              </w:rPr>
            </w:pPr>
          </w:p>
        </w:tc>
        <w:tc>
          <w:tcPr>
            <w:tcW w:w="1670" w:type="dxa"/>
            <w:noWrap w:val="0"/>
            <w:vAlign w:val="top"/>
          </w:tcPr>
          <w:p>
            <w:pPr>
              <w:spacing w:before="156" w:beforeLines="50" w:line="520" w:lineRule="exact"/>
              <w:jc w:val="center"/>
              <w:rPr>
                <w:rFonts w:ascii="宋体" w:cs="宋体"/>
                <w:szCs w:val="21"/>
              </w:rPr>
            </w:pPr>
          </w:p>
        </w:tc>
        <w:tc>
          <w:tcPr>
            <w:tcW w:w="1278" w:type="dxa"/>
            <w:noWrap w:val="0"/>
            <w:vAlign w:val="center"/>
          </w:tcPr>
          <w:p>
            <w:pPr>
              <w:spacing w:before="156" w:beforeLines="50" w:line="520" w:lineRule="exact"/>
              <w:jc w:val="center"/>
              <w:rPr>
                <w:rFonts w:ascii="宋体" w:cs="宋体"/>
                <w:szCs w:val="21"/>
              </w:rPr>
            </w:pPr>
          </w:p>
        </w:tc>
        <w:tc>
          <w:tcPr>
            <w:tcW w:w="1278" w:type="dxa"/>
            <w:noWrap w:val="0"/>
            <w:vAlign w:val="top"/>
          </w:tcPr>
          <w:p>
            <w:pPr>
              <w:spacing w:before="156" w:beforeLines="50" w:line="520" w:lineRule="exact"/>
              <w:jc w:val="center"/>
              <w:rPr>
                <w:rFonts w:ascii="宋体" w:cs="宋体"/>
                <w:szCs w:val="21"/>
              </w:rPr>
            </w:pPr>
          </w:p>
        </w:tc>
      </w:tr>
    </w:tbl>
    <w:p>
      <w:pPr>
        <w:spacing w:line="400" w:lineRule="exact"/>
        <w:jc w:val="lef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投标人应当如实填写本表并后附相关业绩证明材料复印件。</w:t>
      </w:r>
    </w:p>
    <w:p>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合同需包含关键页（合同服务内容、实施时间、合同金额、合同签字盖章页）。</w:t>
      </w:r>
    </w:p>
    <w:p>
      <w:pPr>
        <w:pStyle w:val="83"/>
        <w:topLinePunct/>
        <w:adjustRightInd w:val="0"/>
        <w:snapToGrid w:val="0"/>
        <w:spacing w:line="440" w:lineRule="exact"/>
        <w:ind w:left="1575" w:firstLine="0" w:firstLineChars="0"/>
        <w:rPr>
          <w:rFonts w:ascii="宋体"/>
          <w:bCs/>
          <w:szCs w:val="21"/>
        </w:rPr>
      </w:pPr>
    </w:p>
    <w:p>
      <w:pPr>
        <w:pStyle w:val="83"/>
        <w:topLinePunct/>
        <w:adjustRightInd w:val="0"/>
        <w:snapToGrid w:val="0"/>
        <w:spacing w:line="440" w:lineRule="exact"/>
        <w:ind w:left="1575" w:firstLine="0" w:firstLineChars="0"/>
        <w:rPr>
          <w:rFonts w:ascii="宋体"/>
          <w:bCs/>
          <w:szCs w:val="21"/>
        </w:rPr>
      </w:pPr>
    </w:p>
    <w:p>
      <w:pPr>
        <w:pStyle w:val="83"/>
        <w:wordWrap w:val="0"/>
        <w:adjustRightInd w:val="0"/>
        <w:snapToGrid w:val="0"/>
        <w:spacing w:line="440" w:lineRule="exact"/>
        <w:ind w:left="1575" w:right="420" w:firstLine="0" w:firstLineChars="0"/>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pStyle w:val="83"/>
        <w:adjustRightInd w:val="0"/>
        <w:snapToGrid w:val="0"/>
        <w:spacing w:line="440" w:lineRule="exact"/>
        <w:ind w:left="1575" w:right="420" w:firstLine="0" w:firstLineChars="0"/>
        <w:jc w:val="right"/>
        <w:rPr>
          <w:rFonts w:ascii="宋体"/>
          <w:szCs w:val="21"/>
        </w:rPr>
      </w:pP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pStyle w:val="83"/>
        <w:topLinePunct/>
        <w:adjustRightInd w:val="0"/>
        <w:snapToGrid w:val="0"/>
        <w:spacing w:line="440" w:lineRule="exact"/>
        <w:ind w:left="1575" w:firstLine="0" w:firstLineChars="0"/>
        <w:rPr>
          <w:rFonts w:ascii="宋体"/>
          <w:szCs w:val="21"/>
        </w:rPr>
        <w:sectPr>
          <w:headerReference r:id="rId13" w:type="default"/>
          <w:pgSz w:w="16838" w:h="11906" w:orient="landscape"/>
          <w:pgMar w:top="1797" w:right="1440" w:bottom="1797" w:left="1440" w:header="851" w:footer="992" w:gutter="0"/>
          <w:pgNumType w:fmt="numberInDash"/>
          <w:cols w:space="720" w:num="1"/>
          <w:docGrid w:type="lines" w:linePitch="312" w:charSpace="0"/>
        </w:sect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bookmarkEnd w:id="542"/>
    <w:bookmarkEnd w:id="543"/>
    <w:p>
      <w:pPr>
        <w:pStyle w:val="2"/>
        <w:snapToGrid w:val="0"/>
        <w:spacing w:before="240" w:after="120" w:line="240" w:lineRule="auto"/>
        <w:jc w:val="center"/>
        <w:rPr>
          <w:rFonts w:ascii="宋体" w:hAnsi="宋体" w:eastAsia="宋体" w:cs="宋体"/>
          <w:bCs w:val="0"/>
          <w:sz w:val="24"/>
          <w:szCs w:val="24"/>
        </w:rPr>
      </w:pPr>
      <w:bookmarkStart w:id="544" w:name="_Toc18300"/>
      <w:bookmarkStart w:id="545" w:name="_Toc16175997"/>
      <w:r>
        <w:rPr>
          <w:rFonts w:hint="eastAsia" w:ascii="宋体" w:hAnsi="宋体" w:eastAsia="宋体" w:cs="宋体"/>
          <w:bCs w:val="0"/>
          <w:sz w:val="24"/>
          <w:szCs w:val="24"/>
        </w:rPr>
        <w:t>八、服务方案及综合实力</w:t>
      </w:r>
      <w:bookmarkEnd w:id="544"/>
      <w:bookmarkEnd w:id="545"/>
    </w:p>
    <w:p>
      <w:pPr>
        <w:pStyle w:val="83"/>
        <w:ind w:firstLine="0" w:firstLineChars="0"/>
        <w:jc w:val="center"/>
        <w:rPr>
          <w:rFonts w:ascii="宋体"/>
          <w:b/>
          <w:sz w:val="24"/>
        </w:rPr>
      </w:pPr>
    </w:p>
    <w:p>
      <w:pPr>
        <w:topLinePunct/>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注：</w:t>
      </w:r>
    </w:p>
    <w:p>
      <w:pPr>
        <w:topLinePunct/>
        <w:adjustRightInd w:val="0"/>
        <w:snapToGrid w:val="0"/>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服务方案及综合实力不提供格式，由投标人自拟，投标人应根据招标人服务需求及评标办法详细编写。</w:t>
      </w:r>
    </w:p>
    <w:p>
      <w:pPr>
        <w:topLinePunct/>
        <w:adjustRightInd w:val="0"/>
        <w:snapToGrid w:val="0"/>
        <w:spacing w:line="360" w:lineRule="auto"/>
        <w:ind w:firstLine="422" w:firstLineChars="200"/>
        <w:rPr>
          <w:rFonts w:ascii="宋体" w:cs="宋体"/>
          <w:b/>
          <w:bCs/>
          <w:szCs w:val="21"/>
        </w:rPr>
      </w:pPr>
      <w:r>
        <w:rPr>
          <w:rFonts w:ascii="宋体" w:hAnsi="宋体" w:cs="宋体"/>
          <w:b/>
          <w:bCs/>
          <w:szCs w:val="21"/>
        </w:rPr>
        <w:t>2.</w:t>
      </w:r>
      <w:r>
        <w:rPr>
          <w:rFonts w:hint="eastAsia" w:ascii="宋体" w:hAnsi="宋体" w:cs="宋体"/>
          <w:b/>
          <w:bCs/>
          <w:szCs w:val="21"/>
        </w:rPr>
        <w:t>包含但不限于以下内容：</w:t>
      </w:r>
    </w:p>
    <w:p>
      <w:pPr>
        <w:widowControl/>
        <w:ind w:firstLine="420" w:firstLineChars="20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（1）付款条件</w:t>
      </w:r>
    </w:p>
    <w:p>
      <w:pPr>
        <w:widowControl/>
        <w:ind w:firstLine="420" w:firstLineChars="20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（2）售后服务</w:t>
      </w:r>
    </w:p>
    <w:p>
      <w:pPr>
        <w:widowControl/>
        <w:ind w:firstLine="420" w:firstLineChars="200"/>
        <w:textAlignment w:val="center"/>
        <w:rPr>
          <w:rFonts w:hint="eastAsia" w:ascii="宋体" w:hAnsi="宋体"/>
          <w:color w:val="auto"/>
          <w:szCs w:val="21"/>
        </w:rPr>
      </w:pPr>
      <w:r>
        <w:rPr>
          <w:rFonts w:hint="eastAsia" w:ascii="宋体" w:hAnsi="宋体" w:cs="宋体"/>
          <w:color w:val="auto"/>
          <w:kern w:val="0"/>
          <w:szCs w:val="21"/>
          <w:lang w:bidi="ar"/>
        </w:rPr>
        <w:t>（3）</w:t>
      </w:r>
      <w:r>
        <w:rPr>
          <w:rFonts w:hint="eastAsia" w:ascii="宋体" w:hAnsi="宋体"/>
          <w:color w:val="auto"/>
          <w:szCs w:val="21"/>
        </w:rPr>
        <w:t>备货期限</w:t>
      </w:r>
    </w:p>
    <w:p>
      <w:pPr>
        <w:widowControl/>
        <w:ind w:firstLine="420" w:firstLineChars="200"/>
        <w:jc w:val="left"/>
        <w:textAlignment w:val="center"/>
        <w:rPr>
          <w:rFonts w:hint="eastAsia" w:ascii="宋体" w:hAnsi="宋体"/>
          <w:color w:val="auto"/>
          <w:szCs w:val="21"/>
        </w:rPr>
      </w:pPr>
      <w:r>
        <w:rPr>
          <w:rFonts w:hint="eastAsia" w:ascii="宋体" w:hAnsi="宋体"/>
          <w:color w:val="auto"/>
          <w:kern w:val="0"/>
          <w:szCs w:val="21"/>
        </w:rPr>
        <w:t>（</w:t>
      </w:r>
      <w:r>
        <w:rPr>
          <w:rFonts w:hint="eastAsia" w:ascii="宋体" w:hAnsi="宋体"/>
          <w:color w:val="auto"/>
          <w:kern w:val="0"/>
          <w:szCs w:val="21"/>
          <w:lang w:val="en-US" w:eastAsia="zh-CN"/>
        </w:rPr>
        <w:t>4</w:t>
      </w:r>
      <w:r>
        <w:rPr>
          <w:rFonts w:hint="eastAsia" w:ascii="宋体" w:hAnsi="宋体"/>
          <w:color w:val="auto"/>
          <w:kern w:val="0"/>
          <w:szCs w:val="21"/>
        </w:rPr>
        <w:t>）生产许可证/销售代理权</w:t>
      </w:r>
    </w:p>
    <w:p>
      <w:pPr>
        <w:pStyle w:val="47"/>
        <w:ind w:left="0" w:leftChars="0" w:firstLine="420" w:firstLineChars="200"/>
        <w:rPr>
          <w:rFonts w:hint="eastAsia" w:ascii="宋体" w:hAnsi="宋体"/>
          <w:color w:val="auto"/>
          <w:szCs w:val="21"/>
        </w:rPr>
      </w:pPr>
      <w:r>
        <w:rPr>
          <w:rFonts w:hint="eastAsia" w:ascii="宋体" w:hAnsi="宋体"/>
          <w:color w:val="auto"/>
          <w:szCs w:val="21"/>
        </w:rPr>
        <w:t>（</w:t>
      </w:r>
      <w:r>
        <w:rPr>
          <w:rFonts w:hint="eastAsia"/>
          <w:color w:val="auto"/>
          <w:szCs w:val="21"/>
          <w:lang w:val="en-US" w:eastAsia="zh-CN"/>
        </w:rPr>
        <w:t>5</w:t>
      </w:r>
      <w:r>
        <w:rPr>
          <w:rFonts w:hint="eastAsia" w:ascii="宋体" w:hAnsi="宋体"/>
          <w:color w:val="auto"/>
          <w:szCs w:val="21"/>
        </w:rPr>
        <w:t>）近3年财务状况说明</w:t>
      </w:r>
    </w:p>
    <w:p>
      <w:pPr>
        <w:topLinePunct/>
        <w:adjustRightInd w:val="0"/>
        <w:snapToGrid w:val="0"/>
        <w:spacing w:line="360" w:lineRule="auto"/>
        <w:ind w:firstLine="420" w:firstLineChars="200"/>
        <w:rPr>
          <w:rFonts w:ascii="宋体" w:hAnsi="宋体" w:cs="宋体"/>
          <w:bCs/>
          <w:szCs w:val="21"/>
        </w:rPr>
      </w:pPr>
      <w:r>
        <w:rPr>
          <w:rFonts w:hint="eastAsia" w:ascii="宋体" w:hAnsi="宋体"/>
          <w:color w:val="auto"/>
          <w:szCs w:val="21"/>
        </w:rPr>
        <w:t>（</w:t>
      </w:r>
      <w:r>
        <w:rPr>
          <w:rFonts w:hint="eastAsia"/>
          <w:color w:val="auto"/>
          <w:szCs w:val="21"/>
          <w:lang w:val="en-US" w:eastAsia="zh-CN"/>
        </w:rPr>
        <w:t>6</w:t>
      </w:r>
      <w:r>
        <w:rPr>
          <w:rFonts w:hint="eastAsia" w:ascii="宋体" w:hAnsi="宋体"/>
          <w:color w:val="auto"/>
          <w:szCs w:val="21"/>
        </w:rPr>
        <w:t>）</w:t>
      </w:r>
      <w:r>
        <w:rPr>
          <w:rFonts w:hint="eastAsia" w:ascii="宋体" w:hAnsi="宋体" w:cs="宋体"/>
          <w:bCs/>
          <w:szCs w:val="21"/>
        </w:rPr>
        <w:t>投标方服务方案，按照对服务需求理解、完成时间、招标人对本项目提出合理具有针对性的重点难点分析及用户需要的建议性意见等因素详细编写。</w:t>
      </w:r>
    </w:p>
    <w:p>
      <w:pPr>
        <w:topLinePunct/>
        <w:adjustRightInd w:val="0"/>
        <w:snapToGrid w:val="0"/>
        <w:spacing w:line="360" w:lineRule="auto"/>
        <w:ind w:firstLine="420" w:firstLineChars="200"/>
        <w:rPr>
          <w:rFonts w:ascii="宋体" w:cs="宋体"/>
          <w:bCs/>
          <w:szCs w:val="21"/>
        </w:rPr>
      </w:pPr>
      <w:r>
        <w:rPr>
          <w:rFonts w:hint="eastAsia" w:ascii="宋体" w:hAnsi="宋体"/>
          <w:color w:val="auto"/>
          <w:szCs w:val="21"/>
        </w:rPr>
        <w:t>（</w:t>
      </w:r>
      <w:r>
        <w:rPr>
          <w:rFonts w:hint="eastAsia"/>
          <w:color w:val="auto"/>
          <w:szCs w:val="21"/>
          <w:lang w:val="en-US" w:eastAsia="zh-CN"/>
        </w:rPr>
        <w:t>7</w:t>
      </w:r>
      <w:r>
        <w:rPr>
          <w:rFonts w:hint="eastAsia" w:ascii="宋体" w:hAnsi="宋体"/>
          <w:color w:val="auto"/>
          <w:szCs w:val="21"/>
        </w:rPr>
        <w:t>）</w:t>
      </w:r>
      <w:r>
        <w:rPr>
          <w:rFonts w:hint="eastAsia" w:ascii="宋体" w:hAnsi="宋体" w:cs="宋体"/>
          <w:bCs/>
          <w:szCs w:val="21"/>
        </w:rPr>
        <w:t>服务保障方案，如问题处理反馈沟通机制、紧急（突发）事情处理方案、跟踪问效后继服务制度等。</w:t>
      </w:r>
    </w:p>
    <w:p>
      <w:pPr>
        <w:pStyle w:val="47"/>
        <w:ind w:left="0" w:leftChars="0" w:firstLine="420" w:firstLineChars="200"/>
        <w:rPr>
          <w:rFonts w:hint="eastAsia" w:ascii="宋体" w:hAnsi="宋体"/>
          <w:color w:val="auto"/>
          <w:szCs w:val="21"/>
        </w:rPr>
      </w:pPr>
      <w:r>
        <w:rPr>
          <w:rFonts w:hint="eastAsia" w:ascii="宋体" w:hAnsi="宋体"/>
          <w:color w:val="auto"/>
          <w:szCs w:val="21"/>
        </w:rPr>
        <w:t>（</w:t>
      </w:r>
      <w:r>
        <w:rPr>
          <w:rFonts w:hint="eastAsia"/>
          <w:color w:val="auto"/>
          <w:szCs w:val="21"/>
          <w:lang w:val="en-US" w:eastAsia="zh-CN"/>
        </w:rPr>
        <w:t>8</w:t>
      </w:r>
      <w:r>
        <w:rPr>
          <w:rFonts w:hint="eastAsia" w:ascii="宋体" w:hAnsi="宋体"/>
          <w:color w:val="auto"/>
          <w:szCs w:val="21"/>
        </w:rPr>
        <w:t>）</w:t>
      </w:r>
      <w:r>
        <w:rPr>
          <w:rFonts w:hint="eastAsia" w:ascii="宋体" w:hAnsi="宋体" w:cs="宋体"/>
          <w:bCs/>
          <w:szCs w:val="21"/>
        </w:rPr>
        <w:t>人员配备情况。</w:t>
      </w: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ascii="宋体"/>
          <w:b/>
          <w:sz w:val="24"/>
        </w:rPr>
      </w:pPr>
    </w:p>
    <w:p>
      <w:pPr>
        <w:pStyle w:val="2"/>
        <w:snapToGrid w:val="0"/>
        <w:spacing w:before="240" w:after="120" w:line="240" w:lineRule="auto"/>
        <w:jc w:val="center"/>
        <w:rPr>
          <w:rFonts w:ascii="宋体" w:hAnsi="宋体" w:eastAsia="宋体" w:cs="宋体"/>
          <w:bCs w:val="0"/>
          <w:sz w:val="24"/>
          <w:szCs w:val="24"/>
        </w:rPr>
      </w:pPr>
      <w:bookmarkStart w:id="546" w:name="_Toc16175998"/>
      <w:bookmarkStart w:id="547" w:name="_Toc421654533"/>
      <w:r>
        <w:rPr>
          <w:rFonts w:ascii="宋体" w:hAnsi="宋体" w:eastAsia="宋体" w:cs="宋体"/>
          <w:bCs w:val="0"/>
          <w:sz w:val="24"/>
          <w:szCs w:val="24"/>
        </w:rPr>
        <w:br w:type="page"/>
      </w:r>
      <w:bookmarkStart w:id="548" w:name="_Toc16037"/>
      <w:r>
        <w:rPr>
          <w:rFonts w:hint="eastAsia" w:ascii="宋体" w:hAnsi="宋体" w:eastAsia="宋体" w:cs="宋体"/>
          <w:bCs w:val="0"/>
          <w:sz w:val="24"/>
          <w:szCs w:val="24"/>
        </w:rPr>
        <w:t>九、其他相关证明材料</w:t>
      </w:r>
      <w:bookmarkEnd w:id="546"/>
      <w:bookmarkEnd w:id="547"/>
      <w:bookmarkEnd w:id="548"/>
    </w:p>
    <w:p>
      <w:pPr>
        <w:pStyle w:val="83"/>
        <w:ind w:firstLine="0" w:firstLineChars="0"/>
        <w:jc w:val="center"/>
        <w:rPr>
          <w:rFonts w:ascii="宋体"/>
          <w:b/>
          <w:sz w:val="24"/>
        </w:rPr>
      </w:pPr>
    </w:p>
    <w:p>
      <w:pPr>
        <w:topLinePunct/>
        <w:adjustRightInd w:val="0"/>
        <w:snapToGrid w:val="0"/>
        <w:spacing w:line="360" w:lineRule="auto"/>
        <w:jc w:val="center"/>
        <w:outlineLvl w:val="0"/>
        <w:rPr>
          <w:rFonts w:ascii="宋体" w:cs="宋体"/>
          <w:b/>
          <w:bCs/>
          <w:szCs w:val="21"/>
        </w:rPr>
      </w:pPr>
      <w:bookmarkStart w:id="549" w:name="_Toc26988"/>
      <w:r>
        <w:rPr>
          <w:rFonts w:hint="eastAsia" w:ascii="宋体" w:hAnsi="宋体" w:cs="宋体"/>
          <w:b/>
          <w:bCs/>
          <w:szCs w:val="21"/>
        </w:rPr>
        <w:t>（投标人认为对其有利的其他书面证明材料）</w:t>
      </w:r>
      <w:bookmarkEnd w:id="549"/>
    </w:p>
    <w:p>
      <w:pPr>
        <w:pStyle w:val="83"/>
        <w:ind w:firstLine="0" w:firstLineChars="0"/>
        <w:jc w:val="center"/>
        <w:rPr>
          <w:rFonts w:ascii="宋体"/>
          <w:b/>
          <w:sz w:val="24"/>
        </w:rPr>
      </w:pPr>
    </w:p>
    <w:p>
      <w:pPr>
        <w:spacing w:line="360" w:lineRule="auto"/>
        <w:ind w:firstLine="520" w:firstLineChars="200"/>
        <w:rPr>
          <w:rFonts w:ascii="宋体"/>
          <w:spacing w:val="10"/>
          <w:sz w:val="24"/>
        </w:rPr>
      </w:pPr>
    </w:p>
    <w:sectPr>
      <w:headerReference r:id="rId1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3420"/>
        <w:tab w:val="center" w:pos="4156"/>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ZnsscBAACZ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NZnsscBAACZAwAADgAAAAAAAAABACAAAAAeAQAAZHJzL2Uyb0RvYy54&#10;bWxQSwUGAAAAAAYABgBZAQAAVwUAAAAA&#10;">
              <v:fill on="f" focussize="0,0"/>
              <v:stroke on="f"/>
              <v:imagedata o:title=""/>
              <o:lock v:ext="edit" aspectratio="f"/>
              <v:textbox inset="0mm,0mm,0mm,0mm" style="mso-fit-shape-to-text:t;">
                <w:txbxContent>
                  <w:p>
                    <w:pPr>
                      <w:pStyle w:val="26"/>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3420"/>
        <w:tab w:val="center" w:pos="4156"/>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nD5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ScPkyQEAAJsDAAAOAAAAAAAAAAEAIAAAAB4BAABkcnMvZTJvRG9j&#10;LnhtbFBLBQYAAAAABgAGAFkBAABZBQAAAAA=&#10;">
              <v:fill on="f" focussize="0,0"/>
              <v:stroke on="f"/>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Fbe8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YVt7yQEAAJsDAAAOAAAAAAAAAAEAIAAAAB4BAABkcnMvZTJvRG9j&#10;LnhtbFBLBQYAAAAABgAGAFkBAABZBQAAAAA=&#10;">
              <v:fill on="f" focussize="0,0"/>
              <v:stroke on="f"/>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v:shape>
          </w:pict>
        </mc:Fallback>
      </mc:AlternateConten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3420"/>
        <w:tab w:val="center" w:pos="4156"/>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26"/>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r>
      <w:rPr>
        <w:rFonts w:ascii="隶书" w:eastAsia="隶书"/>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540" w:firstLineChars="3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450" w:firstLineChars="25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pPr>
    <w:r>
      <w:rPr>
        <w:rFonts w:ascii="隶书" w:eastAsia="隶书"/>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6D52A"/>
    <w:multiLevelType w:val="singleLevel"/>
    <w:tmpl w:val="AE76D52A"/>
    <w:lvl w:ilvl="0" w:tentative="0">
      <w:start w:val="1"/>
      <w:numFmt w:val="decimal"/>
      <w:suff w:val="nothing"/>
      <w:lvlText w:val="%1）"/>
      <w:lvlJc w:val="left"/>
    </w:lvl>
  </w:abstractNum>
  <w:abstractNum w:abstractNumId="1">
    <w:nsid w:val="DFE103AC"/>
    <w:multiLevelType w:val="singleLevel"/>
    <w:tmpl w:val="DFE103AC"/>
    <w:lvl w:ilvl="0" w:tentative="0">
      <w:start w:val="1"/>
      <w:numFmt w:val="decimal"/>
      <w:lvlText w:val="%1."/>
      <w:lvlJc w:val="left"/>
      <w:pPr>
        <w:tabs>
          <w:tab w:val="left" w:pos="312"/>
        </w:tabs>
      </w:pPr>
    </w:lvl>
  </w:abstractNum>
  <w:abstractNum w:abstractNumId="2">
    <w:nsid w:val="EDB4BEF9"/>
    <w:multiLevelType w:val="singleLevel"/>
    <w:tmpl w:val="EDB4BEF9"/>
    <w:lvl w:ilvl="0" w:tentative="0">
      <w:start w:val="1"/>
      <w:numFmt w:val="chineseCounting"/>
      <w:suff w:val="nothing"/>
      <w:lvlText w:val="%1、"/>
      <w:lvlJc w:val="left"/>
      <w:rPr>
        <w:rFonts w:hint="eastAsia"/>
      </w:rPr>
    </w:lvl>
  </w:abstractNum>
  <w:abstractNum w:abstractNumId="3">
    <w:nsid w:val="155ABDB0"/>
    <w:multiLevelType w:val="singleLevel"/>
    <w:tmpl w:val="155ABDB0"/>
    <w:lvl w:ilvl="0" w:tentative="0">
      <w:start w:val="1"/>
      <w:numFmt w:val="decimal"/>
      <w:suff w:val="nothing"/>
      <w:lvlText w:val="（%1）"/>
      <w:lvlJc w:val="left"/>
      <w:pPr>
        <w:ind w:left="-420"/>
      </w:pPr>
    </w:lvl>
  </w:abstractNum>
  <w:abstractNum w:abstractNumId="4">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84"/>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HorizontalSpacing w:val="105"/>
  <w:drawingGridVerticalSpacing w:val="190"/>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24"/>
    <w:rsid w:val="0000014E"/>
    <w:rsid w:val="00000F80"/>
    <w:rsid w:val="00001366"/>
    <w:rsid w:val="00001D14"/>
    <w:rsid w:val="00001E51"/>
    <w:rsid w:val="00004894"/>
    <w:rsid w:val="00004907"/>
    <w:rsid w:val="00005869"/>
    <w:rsid w:val="0000597B"/>
    <w:rsid w:val="000101D2"/>
    <w:rsid w:val="00010968"/>
    <w:rsid w:val="0001099C"/>
    <w:rsid w:val="00011E6B"/>
    <w:rsid w:val="0001291C"/>
    <w:rsid w:val="00014A07"/>
    <w:rsid w:val="00014DC8"/>
    <w:rsid w:val="000154AF"/>
    <w:rsid w:val="00015B26"/>
    <w:rsid w:val="00016CB3"/>
    <w:rsid w:val="00017252"/>
    <w:rsid w:val="0002072F"/>
    <w:rsid w:val="000209DF"/>
    <w:rsid w:val="00020D9C"/>
    <w:rsid w:val="000210C1"/>
    <w:rsid w:val="0002115E"/>
    <w:rsid w:val="0002129D"/>
    <w:rsid w:val="00021A11"/>
    <w:rsid w:val="00021CFD"/>
    <w:rsid w:val="0002398D"/>
    <w:rsid w:val="00026F31"/>
    <w:rsid w:val="00027253"/>
    <w:rsid w:val="00027794"/>
    <w:rsid w:val="00027A66"/>
    <w:rsid w:val="0003051F"/>
    <w:rsid w:val="00030857"/>
    <w:rsid w:val="000324F8"/>
    <w:rsid w:val="00033ED9"/>
    <w:rsid w:val="00034718"/>
    <w:rsid w:val="000347B8"/>
    <w:rsid w:val="0003604A"/>
    <w:rsid w:val="00036424"/>
    <w:rsid w:val="0003775A"/>
    <w:rsid w:val="0004089D"/>
    <w:rsid w:val="00041A46"/>
    <w:rsid w:val="0004206C"/>
    <w:rsid w:val="0004255D"/>
    <w:rsid w:val="00043169"/>
    <w:rsid w:val="000445C6"/>
    <w:rsid w:val="00047CB9"/>
    <w:rsid w:val="00047E9C"/>
    <w:rsid w:val="00051CBD"/>
    <w:rsid w:val="000520EB"/>
    <w:rsid w:val="00053191"/>
    <w:rsid w:val="0005328B"/>
    <w:rsid w:val="00053F61"/>
    <w:rsid w:val="0005484E"/>
    <w:rsid w:val="000549DB"/>
    <w:rsid w:val="000560BC"/>
    <w:rsid w:val="00061B23"/>
    <w:rsid w:val="000623F6"/>
    <w:rsid w:val="00062473"/>
    <w:rsid w:val="00062A74"/>
    <w:rsid w:val="00063079"/>
    <w:rsid w:val="00065113"/>
    <w:rsid w:val="00065FC5"/>
    <w:rsid w:val="00066606"/>
    <w:rsid w:val="0006703C"/>
    <w:rsid w:val="00067C7F"/>
    <w:rsid w:val="00071A2F"/>
    <w:rsid w:val="000727FB"/>
    <w:rsid w:val="00072913"/>
    <w:rsid w:val="00073E0B"/>
    <w:rsid w:val="000750A7"/>
    <w:rsid w:val="00076805"/>
    <w:rsid w:val="0007738C"/>
    <w:rsid w:val="00081C20"/>
    <w:rsid w:val="0008220C"/>
    <w:rsid w:val="00085668"/>
    <w:rsid w:val="00085FE4"/>
    <w:rsid w:val="000863A9"/>
    <w:rsid w:val="000866A4"/>
    <w:rsid w:val="00086ACD"/>
    <w:rsid w:val="00086B83"/>
    <w:rsid w:val="000874A1"/>
    <w:rsid w:val="00087802"/>
    <w:rsid w:val="0008781B"/>
    <w:rsid w:val="000901AA"/>
    <w:rsid w:val="00091C89"/>
    <w:rsid w:val="00091FAB"/>
    <w:rsid w:val="0009245B"/>
    <w:rsid w:val="00092670"/>
    <w:rsid w:val="0009436F"/>
    <w:rsid w:val="00094678"/>
    <w:rsid w:val="00094EDA"/>
    <w:rsid w:val="00095894"/>
    <w:rsid w:val="00096BF6"/>
    <w:rsid w:val="000975BF"/>
    <w:rsid w:val="000A07DB"/>
    <w:rsid w:val="000A0D5F"/>
    <w:rsid w:val="000A0EF5"/>
    <w:rsid w:val="000A1448"/>
    <w:rsid w:val="000A16E2"/>
    <w:rsid w:val="000A1717"/>
    <w:rsid w:val="000A2258"/>
    <w:rsid w:val="000A71E6"/>
    <w:rsid w:val="000A7FA7"/>
    <w:rsid w:val="000B138E"/>
    <w:rsid w:val="000B256E"/>
    <w:rsid w:val="000B2B4D"/>
    <w:rsid w:val="000B37D7"/>
    <w:rsid w:val="000B4E31"/>
    <w:rsid w:val="000B4EFB"/>
    <w:rsid w:val="000B4FB8"/>
    <w:rsid w:val="000B55EC"/>
    <w:rsid w:val="000B568B"/>
    <w:rsid w:val="000B69FE"/>
    <w:rsid w:val="000B6EB8"/>
    <w:rsid w:val="000B731B"/>
    <w:rsid w:val="000C02DD"/>
    <w:rsid w:val="000C09BF"/>
    <w:rsid w:val="000C1E9B"/>
    <w:rsid w:val="000C21D7"/>
    <w:rsid w:val="000C2CC1"/>
    <w:rsid w:val="000C34D1"/>
    <w:rsid w:val="000C37EF"/>
    <w:rsid w:val="000C389F"/>
    <w:rsid w:val="000C784B"/>
    <w:rsid w:val="000D0034"/>
    <w:rsid w:val="000D090B"/>
    <w:rsid w:val="000D1DA0"/>
    <w:rsid w:val="000D24B3"/>
    <w:rsid w:val="000D2C2A"/>
    <w:rsid w:val="000D37D2"/>
    <w:rsid w:val="000D4BDC"/>
    <w:rsid w:val="000D6864"/>
    <w:rsid w:val="000D6BE7"/>
    <w:rsid w:val="000D7213"/>
    <w:rsid w:val="000E045B"/>
    <w:rsid w:val="000E1C06"/>
    <w:rsid w:val="000E24F5"/>
    <w:rsid w:val="000E28EF"/>
    <w:rsid w:val="000E2C94"/>
    <w:rsid w:val="000E2DD2"/>
    <w:rsid w:val="000E44B1"/>
    <w:rsid w:val="000E4B58"/>
    <w:rsid w:val="000E4D84"/>
    <w:rsid w:val="000E54A4"/>
    <w:rsid w:val="000E5F8C"/>
    <w:rsid w:val="000E65C0"/>
    <w:rsid w:val="000E68A1"/>
    <w:rsid w:val="000E6E86"/>
    <w:rsid w:val="000F139C"/>
    <w:rsid w:val="000F1890"/>
    <w:rsid w:val="000F3D4B"/>
    <w:rsid w:val="000F412D"/>
    <w:rsid w:val="000F4AA5"/>
    <w:rsid w:val="000F5642"/>
    <w:rsid w:val="000F6AD7"/>
    <w:rsid w:val="000F6C5A"/>
    <w:rsid w:val="000F6E12"/>
    <w:rsid w:val="00100032"/>
    <w:rsid w:val="001027D6"/>
    <w:rsid w:val="00102BE9"/>
    <w:rsid w:val="00104246"/>
    <w:rsid w:val="001051DB"/>
    <w:rsid w:val="00107748"/>
    <w:rsid w:val="00107807"/>
    <w:rsid w:val="00107E05"/>
    <w:rsid w:val="00110A63"/>
    <w:rsid w:val="00111129"/>
    <w:rsid w:val="00111184"/>
    <w:rsid w:val="001112C1"/>
    <w:rsid w:val="00111A7F"/>
    <w:rsid w:val="00112AD5"/>
    <w:rsid w:val="00112C16"/>
    <w:rsid w:val="001143FA"/>
    <w:rsid w:val="00114883"/>
    <w:rsid w:val="00114D50"/>
    <w:rsid w:val="00115971"/>
    <w:rsid w:val="00120CA5"/>
    <w:rsid w:val="00121059"/>
    <w:rsid w:val="00122433"/>
    <w:rsid w:val="001228D8"/>
    <w:rsid w:val="001237C0"/>
    <w:rsid w:val="00123EC9"/>
    <w:rsid w:val="0012447F"/>
    <w:rsid w:val="00126155"/>
    <w:rsid w:val="00127E54"/>
    <w:rsid w:val="001306E5"/>
    <w:rsid w:val="00132DB7"/>
    <w:rsid w:val="00133142"/>
    <w:rsid w:val="0013604E"/>
    <w:rsid w:val="001408B1"/>
    <w:rsid w:val="00141291"/>
    <w:rsid w:val="001413DE"/>
    <w:rsid w:val="001418A8"/>
    <w:rsid w:val="00142319"/>
    <w:rsid w:val="00142C02"/>
    <w:rsid w:val="001439D2"/>
    <w:rsid w:val="00143AB9"/>
    <w:rsid w:val="001441B7"/>
    <w:rsid w:val="00145C75"/>
    <w:rsid w:val="001464EC"/>
    <w:rsid w:val="00147411"/>
    <w:rsid w:val="001476AF"/>
    <w:rsid w:val="00150F7B"/>
    <w:rsid w:val="001521DF"/>
    <w:rsid w:val="001523EC"/>
    <w:rsid w:val="00152450"/>
    <w:rsid w:val="001539D9"/>
    <w:rsid w:val="00154105"/>
    <w:rsid w:val="001558E8"/>
    <w:rsid w:val="001559C5"/>
    <w:rsid w:val="00156AD9"/>
    <w:rsid w:val="00157707"/>
    <w:rsid w:val="00161AED"/>
    <w:rsid w:val="00163E00"/>
    <w:rsid w:val="00164862"/>
    <w:rsid w:val="00167AD7"/>
    <w:rsid w:val="001703AF"/>
    <w:rsid w:val="001712B8"/>
    <w:rsid w:val="00174F8F"/>
    <w:rsid w:val="001760AC"/>
    <w:rsid w:val="00176386"/>
    <w:rsid w:val="001763E5"/>
    <w:rsid w:val="00176DE2"/>
    <w:rsid w:val="00177C5D"/>
    <w:rsid w:val="00177F6D"/>
    <w:rsid w:val="00180FCE"/>
    <w:rsid w:val="00181901"/>
    <w:rsid w:val="00182766"/>
    <w:rsid w:val="001830EA"/>
    <w:rsid w:val="001845D4"/>
    <w:rsid w:val="001848F1"/>
    <w:rsid w:val="00184F2C"/>
    <w:rsid w:val="001851E3"/>
    <w:rsid w:val="00185DF7"/>
    <w:rsid w:val="00186411"/>
    <w:rsid w:val="00186424"/>
    <w:rsid w:val="0018646D"/>
    <w:rsid w:val="0018656E"/>
    <w:rsid w:val="00190DFE"/>
    <w:rsid w:val="00193B68"/>
    <w:rsid w:val="00193C2A"/>
    <w:rsid w:val="00194F10"/>
    <w:rsid w:val="00195240"/>
    <w:rsid w:val="00196397"/>
    <w:rsid w:val="00196D92"/>
    <w:rsid w:val="00197A9E"/>
    <w:rsid w:val="001A58F2"/>
    <w:rsid w:val="001A73E9"/>
    <w:rsid w:val="001A7749"/>
    <w:rsid w:val="001A7B9F"/>
    <w:rsid w:val="001A7C37"/>
    <w:rsid w:val="001B0424"/>
    <w:rsid w:val="001B10D7"/>
    <w:rsid w:val="001B1E47"/>
    <w:rsid w:val="001B2883"/>
    <w:rsid w:val="001B288C"/>
    <w:rsid w:val="001B79BF"/>
    <w:rsid w:val="001C10FE"/>
    <w:rsid w:val="001C1592"/>
    <w:rsid w:val="001C162C"/>
    <w:rsid w:val="001C1E3D"/>
    <w:rsid w:val="001C2649"/>
    <w:rsid w:val="001C291C"/>
    <w:rsid w:val="001C2B03"/>
    <w:rsid w:val="001C35C3"/>
    <w:rsid w:val="001C3F5C"/>
    <w:rsid w:val="001C4756"/>
    <w:rsid w:val="001C4D28"/>
    <w:rsid w:val="001C5385"/>
    <w:rsid w:val="001C5464"/>
    <w:rsid w:val="001C560E"/>
    <w:rsid w:val="001C59FC"/>
    <w:rsid w:val="001C5D49"/>
    <w:rsid w:val="001C7DDA"/>
    <w:rsid w:val="001D0DDC"/>
    <w:rsid w:val="001D1275"/>
    <w:rsid w:val="001D201F"/>
    <w:rsid w:val="001D224C"/>
    <w:rsid w:val="001D29CE"/>
    <w:rsid w:val="001D60A0"/>
    <w:rsid w:val="001D618A"/>
    <w:rsid w:val="001D6D30"/>
    <w:rsid w:val="001D7D61"/>
    <w:rsid w:val="001E0048"/>
    <w:rsid w:val="001E15DC"/>
    <w:rsid w:val="001E2A0A"/>
    <w:rsid w:val="001E2C05"/>
    <w:rsid w:val="001E361F"/>
    <w:rsid w:val="001E39E7"/>
    <w:rsid w:val="001E3CAA"/>
    <w:rsid w:val="001E3FE8"/>
    <w:rsid w:val="001E4DDC"/>
    <w:rsid w:val="001E7788"/>
    <w:rsid w:val="001F2F59"/>
    <w:rsid w:val="001F4323"/>
    <w:rsid w:val="001F5418"/>
    <w:rsid w:val="001F67AB"/>
    <w:rsid w:val="001F6E69"/>
    <w:rsid w:val="001F74E8"/>
    <w:rsid w:val="002010F2"/>
    <w:rsid w:val="002017B3"/>
    <w:rsid w:val="00201A20"/>
    <w:rsid w:val="0020216F"/>
    <w:rsid w:val="002028D5"/>
    <w:rsid w:val="002044EC"/>
    <w:rsid w:val="00204932"/>
    <w:rsid w:val="00205C2E"/>
    <w:rsid w:val="00206A28"/>
    <w:rsid w:val="00210392"/>
    <w:rsid w:val="002109CC"/>
    <w:rsid w:val="00210AAD"/>
    <w:rsid w:val="00213454"/>
    <w:rsid w:val="00213ED0"/>
    <w:rsid w:val="002144D5"/>
    <w:rsid w:val="00215FCD"/>
    <w:rsid w:val="00216082"/>
    <w:rsid w:val="00216DC4"/>
    <w:rsid w:val="0021718E"/>
    <w:rsid w:val="00217911"/>
    <w:rsid w:val="00217A4B"/>
    <w:rsid w:val="00217CF9"/>
    <w:rsid w:val="00220B65"/>
    <w:rsid w:val="0022214A"/>
    <w:rsid w:val="0022246C"/>
    <w:rsid w:val="00222817"/>
    <w:rsid w:val="00223698"/>
    <w:rsid w:val="00224ED2"/>
    <w:rsid w:val="002255BE"/>
    <w:rsid w:val="00226471"/>
    <w:rsid w:val="0022696C"/>
    <w:rsid w:val="00227A33"/>
    <w:rsid w:val="00230D18"/>
    <w:rsid w:val="00231504"/>
    <w:rsid w:val="00232E61"/>
    <w:rsid w:val="002339C4"/>
    <w:rsid w:val="00234EA4"/>
    <w:rsid w:val="00235816"/>
    <w:rsid w:val="00235B52"/>
    <w:rsid w:val="0023604B"/>
    <w:rsid w:val="002379E3"/>
    <w:rsid w:val="00240957"/>
    <w:rsid w:val="00240AAD"/>
    <w:rsid w:val="002410BC"/>
    <w:rsid w:val="002434D9"/>
    <w:rsid w:val="00245FE5"/>
    <w:rsid w:val="00246597"/>
    <w:rsid w:val="00246AFD"/>
    <w:rsid w:val="002473F3"/>
    <w:rsid w:val="00250163"/>
    <w:rsid w:val="00251E7C"/>
    <w:rsid w:val="00253A68"/>
    <w:rsid w:val="002544C5"/>
    <w:rsid w:val="00254AA3"/>
    <w:rsid w:val="00254C4F"/>
    <w:rsid w:val="00254DD5"/>
    <w:rsid w:val="00254E35"/>
    <w:rsid w:val="0025683A"/>
    <w:rsid w:val="00257772"/>
    <w:rsid w:val="002607DA"/>
    <w:rsid w:val="00260CC4"/>
    <w:rsid w:val="00261742"/>
    <w:rsid w:val="00261D39"/>
    <w:rsid w:val="00262021"/>
    <w:rsid w:val="00263504"/>
    <w:rsid w:val="0026358A"/>
    <w:rsid w:val="00264F8F"/>
    <w:rsid w:val="002656A1"/>
    <w:rsid w:val="0026596A"/>
    <w:rsid w:val="00265D3C"/>
    <w:rsid w:val="00266040"/>
    <w:rsid w:val="00266376"/>
    <w:rsid w:val="0026656B"/>
    <w:rsid w:val="00266F33"/>
    <w:rsid w:val="0027044A"/>
    <w:rsid w:val="002708AF"/>
    <w:rsid w:val="00271571"/>
    <w:rsid w:val="00272C88"/>
    <w:rsid w:val="00275206"/>
    <w:rsid w:val="00276C1D"/>
    <w:rsid w:val="00277C54"/>
    <w:rsid w:val="00280225"/>
    <w:rsid w:val="002802DD"/>
    <w:rsid w:val="002805DC"/>
    <w:rsid w:val="00280A92"/>
    <w:rsid w:val="00280E8F"/>
    <w:rsid w:val="00281520"/>
    <w:rsid w:val="00282138"/>
    <w:rsid w:val="0028282F"/>
    <w:rsid w:val="002864CD"/>
    <w:rsid w:val="00286EDB"/>
    <w:rsid w:val="002871AD"/>
    <w:rsid w:val="00287A8C"/>
    <w:rsid w:val="00291EFA"/>
    <w:rsid w:val="00293799"/>
    <w:rsid w:val="00294153"/>
    <w:rsid w:val="00295D81"/>
    <w:rsid w:val="00296112"/>
    <w:rsid w:val="002A0FA7"/>
    <w:rsid w:val="002A36DD"/>
    <w:rsid w:val="002A411E"/>
    <w:rsid w:val="002A437A"/>
    <w:rsid w:val="002A5F03"/>
    <w:rsid w:val="002A6E2F"/>
    <w:rsid w:val="002B051B"/>
    <w:rsid w:val="002B06DD"/>
    <w:rsid w:val="002B0CB9"/>
    <w:rsid w:val="002B0EB1"/>
    <w:rsid w:val="002B1672"/>
    <w:rsid w:val="002B20D4"/>
    <w:rsid w:val="002B3064"/>
    <w:rsid w:val="002B331B"/>
    <w:rsid w:val="002B4238"/>
    <w:rsid w:val="002B4B0D"/>
    <w:rsid w:val="002B7A61"/>
    <w:rsid w:val="002C01C6"/>
    <w:rsid w:val="002C17E2"/>
    <w:rsid w:val="002C2734"/>
    <w:rsid w:val="002C3215"/>
    <w:rsid w:val="002C35BE"/>
    <w:rsid w:val="002C364D"/>
    <w:rsid w:val="002C3771"/>
    <w:rsid w:val="002C6493"/>
    <w:rsid w:val="002C6C4D"/>
    <w:rsid w:val="002D0051"/>
    <w:rsid w:val="002D035E"/>
    <w:rsid w:val="002D0E43"/>
    <w:rsid w:val="002D261E"/>
    <w:rsid w:val="002D557F"/>
    <w:rsid w:val="002D5862"/>
    <w:rsid w:val="002D6D49"/>
    <w:rsid w:val="002D74A6"/>
    <w:rsid w:val="002D7600"/>
    <w:rsid w:val="002D794D"/>
    <w:rsid w:val="002D7ACD"/>
    <w:rsid w:val="002D7C71"/>
    <w:rsid w:val="002E2A86"/>
    <w:rsid w:val="002E31E7"/>
    <w:rsid w:val="002E32AA"/>
    <w:rsid w:val="002E4288"/>
    <w:rsid w:val="002E46EF"/>
    <w:rsid w:val="002E69C3"/>
    <w:rsid w:val="002E6A25"/>
    <w:rsid w:val="002E6B3F"/>
    <w:rsid w:val="002E6BCA"/>
    <w:rsid w:val="002F037F"/>
    <w:rsid w:val="002F2579"/>
    <w:rsid w:val="002F2670"/>
    <w:rsid w:val="002F2A6D"/>
    <w:rsid w:val="002F4305"/>
    <w:rsid w:val="002F5029"/>
    <w:rsid w:val="002F67EF"/>
    <w:rsid w:val="00300CCB"/>
    <w:rsid w:val="003016A5"/>
    <w:rsid w:val="003024BB"/>
    <w:rsid w:val="00306EB1"/>
    <w:rsid w:val="00307170"/>
    <w:rsid w:val="00307258"/>
    <w:rsid w:val="003104F7"/>
    <w:rsid w:val="00310C54"/>
    <w:rsid w:val="003110D7"/>
    <w:rsid w:val="003116CF"/>
    <w:rsid w:val="0031362E"/>
    <w:rsid w:val="00313C13"/>
    <w:rsid w:val="00314673"/>
    <w:rsid w:val="003161EC"/>
    <w:rsid w:val="0031734A"/>
    <w:rsid w:val="00317B40"/>
    <w:rsid w:val="00320956"/>
    <w:rsid w:val="00321CBB"/>
    <w:rsid w:val="00322D96"/>
    <w:rsid w:val="0032397A"/>
    <w:rsid w:val="0032441C"/>
    <w:rsid w:val="00325834"/>
    <w:rsid w:val="003272DA"/>
    <w:rsid w:val="00331B93"/>
    <w:rsid w:val="00331E14"/>
    <w:rsid w:val="003330C2"/>
    <w:rsid w:val="00334AAE"/>
    <w:rsid w:val="0033603A"/>
    <w:rsid w:val="00336072"/>
    <w:rsid w:val="00337135"/>
    <w:rsid w:val="00337272"/>
    <w:rsid w:val="0034281D"/>
    <w:rsid w:val="00342BD3"/>
    <w:rsid w:val="00342C93"/>
    <w:rsid w:val="00343198"/>
    <w:rsid w:val="00347031"/>
    <w:rsid w:val="003505E5"/>
    <w:rsid w:val="00350628"/>
    <w:rsid w:val="00351999"/>
    <w:rsid w:val="003528D7"/>
    <w:rsid w:val="00354DA9"/>
    <w:rsid w:val="00355398"/>
    <w:rsid w:val="00356B01"/>
    <w:rsid w:val="00356D3F"/>
    <w:rsid w:val="003620DF"/>
    <w:rsid w:val="0036458A"/>
    <w:rsid w:val="003657E6"/>
    <w:rsid w:val="00367944"/>
    <w:rsid w:val="00372139"/>
    <w:rsid w:val="00372D5B"/>
    <w:rsid w:val="00373054"/>
    <w:rsid w:val="00373F68"/>
    <w:rsid w:val="0037478D"/>
    <w:rsid w:val="003750CE"/>
    <w:rsid w:val="00375A09"/>
    <w:rsid w:val="00375E44"/>
    <w:rsid w:val="00376169"/>
    <w:rsid w:val="0038071F"/>
    <w:rsid w:val="00381F10"/>
    <w:rsid w:val="00385140"/>
    <w:rsid w:val="00385D6C"/>
    <w:rsid w:val="00386842"/>
    <w:rsid w:val="003869B6"/>
    <w:rsid w:val="00386DDA"/>
    <w:rsid w:val="0039040B"/>
    <w:rsid w:val="00391035"/>
    <w:rsid w:val="0039153B"/>
    <w:rsid w:val="00394188"/>
    <w:rsid w:val="003949B8"/>
    <w:rsid w:val="00394DFC"/>
    <w:rsid w:val="00395785"/>
    <w:rsid w:val="00397A6A"/>
    <w:rsid w:val="00397BE2"/>
    <w:rsid w:val="003A03A5"/>
    <w:rsid w:val="003A0475"/>
    <w:rsid w:val="003A12E8"/>
    <w:rsid w:val="003A1F39"/>
    <w:rsid w:val="003A2282"/>
    <w:rsid w:val="003A2291"/>
    <w:rsid w:val="003A2654"/>
    <w:rsid w:val="003A2C0F"/>
    <w:rsid w:val="003A2F3D"/>
    <w:rsid w:val="003A38F2"/>
    <w:rsid w:val="003A500C"/>
    <w:rsid w:val="003A55DF"/>
    <w:rsid w:val="003B033E"/>
    <w:rsid w:val="003B1BFF"/>
    <w:rsid w:val="003B34FF"/>
    <w:rsid w:val="003B3CC3"/>
    <w:rsid w:val="003B3E5C"/>
    <w:rsid w:val="003B6288"/>
    <w:rsid w:val="003B654E"/>
    <w:rsid w:val="003B6F45"/>
    <w:rsid w:val="003B7ABF"/>
    <w:rsid w:val="003C2639"/>
    <w:rsid w:val="003C3666"/>
    <w:rsid w:val="003C3983"/>
    <w:rsid w:val="003C48CA"/>
    <w:rsid w:val="003C5131"/>
    <w:rsid w:val="003C734D"/>
    <w:rsid w:val="003C7B57"/>
    <w:rsid w:val="003D2277"/>
    <w:rsid w:val="003D2EE1"/>
    <w:rsid w:val="003D461C"/>
    <w:rsid w:val="003D592A"/>
    <w:rsid w:val="003D7D16"/>
    <w:rsid w:val="003E23D7"/>
    <w:rsid w:val="003E2CC9"/>
    <w:rsid w:val="003E5604"/>
    <w:rsid w:val="003E6406"/>
    <w:rsid w:val="003E681F"/>
    <w:rsid w:val="003E73BA"/>
    <w:rsid w:val="003F0C21"/>
    <w:rsid w:val="003F0C44"/>
    <w:rsid w:val="003F3258"/>
    <w:rsid w:val="003F3580"/>
    <w:rsid w:val="003F360D"/>
    <w:rsid w:val="003F4960"/>
    <w:rsid w:val="003F4CDB"/>
    <w:rsid w:val="003F5459"/>
    <w:rsid w:val="003F6DE6"/>
    <w:rsid w:val="003F6F4B"/>
    <w:rsid w:val="003F7856"/>
    <w:rsid w:val="004005EF"/>
    <w:rsid w:val="00400B3E"/>
    <w:rsid w:val="0040109A"/>
    <w:rsid w:val="00401A3C"/>
    <w:rsid w:val="00402B12"/>
    <w:rsid w:val="00403219"/>
    <w:rsid w:val="00404FD9"/>
    <w:rsid w:val="00405515"/>
    <w:rsid w:val="004062F8"/>
    <w:rsid w:val="00407017"/>
    <w:rsid w:val="00407F26"/>
    <w:rsid w:val="00410D9F"/>
    <w:rsid w:val="00411727"/>
    <w:rsid w:val="00411DF5"/>
    <w:rsid w:val="004141C6"/>
    <w:rsid w:val="004159C7"/>
    <w:rsid w:val="00416AF9"/>
    <w:rsid w:val="00420B96"/>
    <w:rsid w:val="00423492"/>
    <w:rsid w:val="0042394C"/>
    <w:rsid w:val="00425096"/>
    <w:rsid w:val="00425128"/>
    <w:rsid w:val="00425EA1"/>
    <w:rsid w:val="00426094"/>
    <w:rsid w:val="00426B48"/>
    <w:rsid w:val="004270C2"/>
    <w:rsid w:val="00431142"/>
    <w:rsid w:val="00431EED"/>
    <w:rsid w:val="00432010"/>
    <w:rsid w:val="004346DD"/>
    <w:rsid w:val="0043527A"/>
    <w:rsid w:val="00436072"/>
    <w:rsid w:val="004361E8"/>
    <w:rsid w:val="004362FE"/>
    <w:rsid w:val="004400F7"/>
    <w:rsid w:val="00443248"/>
    <w:rsid w:val="00443BC7"/>
    <w:rsid w:val="00446B27"/>
    <w:rsid w:val="0045023B"/>
    <w:rsid w:val="004502B1"/>
    <w:rsid w:val="00454D2C"/>
    <w:rsid w:val="0045530D"/>
    <w:rsid w:val="00456C5A"/>
    <w:rsid w:val="00456CE8"/>
    <w:rsid w:val="0045728D"/>
    <w:rsid w:val="004613BF"/>
    <w:rsid w:val="004614D8"/>
    <w:rsid w:val="004628F9"/>
    <w:rsid w:val="00463CF7"/>
    <w:rsid w:val="0046422B"/>
    <w:rsid w:val="0046568F"/>
    <w:rsid w:val="0046576C"/>
    <w:rsid w:val="0046735C"/>
    <w:rsid w:val="004704B7"/>
    <w:rsid w:val="004706A5"/>
    <w:rsid w:val="004708A1"/>
    <w:rsid w:val="00470BBF"/>
    <w:rsid w:val="00474A74"/>
    <w:rsid w:val="00474C86"/>
    <w:rsid w:val="00474D1A"/>
    <w:rsid w:val="00475B82"/>
    <w:rsid w:val="00475B90"/>
    <w:rsid w:val="00480FF3"/>
    <w:rsid w:val="004812AE"/>
    <w:rsid w:val="00481DC7"/>
    <w:rsid w:val="00483139"/>
    <w:rsid w:val="00483255"/>
    <w:rsid w:val="00484D35"/>
    <w:rsid w:val="00485FDC"/>
    <w:rsid w:val="00486C53"/>
    <w:rsid w:val="00486C75"/>
    <w:rsid w:val="0048715D"/>
    <w:rsid w:val="004876D5"/>
    <w:rsid w:val="00490666"/>
    <w:rsid w:val="004908F9"/>
    <w:rsid w:val="00490B27"/>
    <w:rsid w:val="00491F89"/>
    <w:rsid w:val="00492A9C"/>
    <w:rsid w:val="00493539"/>
    <w:rsid w:val="00494DEE"/>
    <w:rsid w:val="004951C8"/>
    <w:rsid w:val="00495A4C"/>
    <w:rsid w:val="00495C8F"/>
    <w:rsid w:val="004975B7"/>
    <w:rsid w:val="004A09A6"/>
    <w:rsid w:val="004A194C"/>
    <w:rsid w:val="004A23A1"/>
    <w:rsid w:val="004A2455"/>
    <w:rsid w:val="004A5604"/>
    <w:rsid w:val="004A596D"/>
    <w:rsid w:val="004A71F7"/>
    <w:rsid w:val="004A7C3E"/>
    <w:rsid w:val="004A7D86"/>
    <w:rsid w:val="004B0624"/>
    <w:rsid w:val="004B06C9"/>
    <w:rsid w:val="004B0CAD"/>
    <w:rsid w:val="004B353B"/>
    <w:rsid w:val="004B3699"/>
    <w:rsid w:val="004B49D3"/>
    <w:rsid w:val="004B4B70"/>
    <w:rsid w:val="004B4BA4"/>
    <w:rsid w:val="004C0425"/>
    <w:rsid w:val="004C1CF8"/>
    <w:rsid w:val="004C2ABB"/>
    <w:rsid w:val="004C3440"/>
    <w:rsid w:val="004C3BF4"/>
    <w:rsid w:val="004C5AAB"/>
    <w:rsid w:val="004C66C0"/>
    <w:rsid w:val="004C7157"/>
    <w:rsid w:val="004D0103"/>
    <w:rsid w:val="004D07CA"/>
    <w:rsid w:val="004D1731"/>
    <w:rsid w:val="004D22F4"/>
    <w:rsid w:val="004D27D7"/>
    <w:rsid w:val="004D2F0F"/>
    <w:rsid w:val="004D3245"/>
    <w:rsid w:val="004D3576"/>
    <w:rsid w:val="004D615C"/>
    <w:rsid w:val="004D6C3C"/>
    <w:rsid w:val="004E0925"/>
    <w:rsid w:val="004E13CB"/>
    <w:rsid w:val="004E1970"/>
    <w:rsid w:val="004E24FF"/>
    <w:rsid w:val="004E3223"/>
    <w:rsid w:val="004E40E4"/>
    <w:rsid w:val="004E4736"/>
    <w:rsid w:val="004E49BC"/>
    <w:rsid w:val="004E6900"/>
    <w:rsid w:val="004E70C5"/>
    <w:rsid w:val="004E7D6B"/>
    <w:rsid w:val="004F0B53"/>
    <w:rsid w:val="004F0C6A"/>
    <w:rsid w:val="004F4DDC"/>
    <w:rsid w:val="004F62C4"/>
    <w:rsid w:val="005002A9"/>
    <w:rsid w:val="00502197"/>
    <w:rsid w:val="00502532"/>
    <w:rsid w:val="00502EA1"/>
    <w:rsid w:val="00505FC2"/>
    <w:rsid w:val="00506D04"/>
    <w:rsid w:val="00507E70"/>
    <w:rsid w:val="00511AE1"/>
    <w:rsid w:val="00512735"/>
    <w:rsid w:val="00513BAD"/>
    <w:rsid w:val="00513D5C"/>
    <w:rsid w:val="00514420"/>
    <w:rsid w:val="00515EB1"/>
    <w:rsid w:val="00516EDF"/>
    <w:rsid w:val="00517822"/>
    <w:rsid w:val="00520559"/>
    <w:rsid w:val="00520659"/>
    <w:rsid w:val="005236EA"/>
    <w:rsid w:val="00523D1E"/>
    <w:rsid w:val="005242CA"/>
    <w:rsid w:val="005263B4"/>
    <w:rsid w:val="00527BD6"/>
    <w:rsid w:val="00527C40"/>
    <w:rsid w:val="00530B70"/>
    <w:rsid w:val="00530CB7"/>
    <w:rsid w:val="00531093"/>
    <w:rsid w:val="00531A35"/>
    <w:rsid w:val="005337E7"/>
    <w:rsid w:val="00534354"/>
    <w:rsid w:val="0053445B"/>
    <w:rsid w:val="005348FF"/>
    <w:rsid w:val="005352D6"/>
    <w:rsid w:val="00535D4C"/>
    <w:rsid w:val="00542212"/>
    <w:rsid w:val="005424B1"/>
    <w:rsid w:val="00542516"/>
    <w:rsid w:val="00543CA0"/>
    <w:rsid w:val="00543E79"/>
    <w:rsid w:val="005473AE"/>
    <w:rsid w:val="005514A7"/>
    <w:rsid w:val="00552BD8"/>
    <w:rsid w:val="00553505"/>
    <w:rsid w:val="00553B53"/>
    <w:rsid w:val="00554016"/>
    <w:rsid w:val="00554078"/>
    <w:rsid w:val="005547C4"/>
    <w:rsid w:val="00555E4F"/>
    <w:rsid w:val="005566B6"/>
    <w:rsid w:val="005571A0"/>
    <w:rsid w:val="005605AE"/>
    <w:rsid w:val="00562630"/>
    <w:rsid w:val="0056331D"/>
    <w:rsid w:val="00563937"/>
    <w:rsid w:val="00564602"/>
    <w:rsid w:val="00564D16"/>
    <w:rsid w:val="0056522E"/>
    <w:rsid w:val="00565324"/>
    <w:rsid w:val="00565799"/>
    <w:rsid w:val="0056789E"/>
    <w:rsid w:val="0057001C"/>
    <w:rsid w:val="005719D6"/>
    <w:rsid w:val="00571CA4"/>
    <w:rsid w:val="00572C88"/>
    <w:rsid w:val="0057306B"/>
    <w:rsid w:val="005733B5"/>
    <w:rsid w:val="00573490"/>
    <w:rsid w:val="0057429B"/>
    <w:rsid w:val="00574576"/>
    <w:rsid w:val="00575101"/>
    <w:rsid w:val="0057736F"/>
    <w:rsid w:val="005809A2"/>
    <w:rsid w:val="00580D19"/>
    <w:rsid w:val="0058173A"/>
    <w:rsid w:val="00581A41"/>
    <w:rsid w:val="005822AB"/>
    <w:rsid w:val="00583ADB"/>
    <w:rsid w:val="00583FB6"/>
    <w:rsid w:val="00584523"/>
    <w:rsid w:val="00584B1B"/>
    <w:rsid w:val="00586256"/>
    <w:rsid w:val="00587434"/>
    <w:rsid w:val="00590013"/>
    <w:rsid w:val="00591299"/>
    <w:rsid w:val="0059131D"/>
    <w:rsid w:val="0059692F"/>
    <w:rsid w:val="005A0F69"/>
    <w:rsid w:val="005A15FB"/>
    <w:rsid w:val="005A1C47"/>
    <w:rsid w:val="005A2E60"/>
    <w:rsid w:val="005A5370"/>
    <w:rsid w:val="005A6D8E"/>
    <w:rsid w:val="005A6F5A"/>
    <w:rsid w:val="005A7A1C"/>
    <w:rsid w:val="005B157C"/>
    <w:rsid w:val="005B1F45"/>
    <w:rsid w:val="005B45CF"/>
    <w:rsid w:val="005B51B6"/>
    <w:rsid w:val="005B5846"/>
    <w:rsid w:val="005B6A3D"/>
    <w:rsid w:val="005B6BB6"/>
    <w:rsid w:val="005B6BE4"/>
    <w:rsid w:val="005C0710"/>
    <w:rsid w:val="005C0726"/>
    <w:rsid w:val="005C1427"/>
    <w:rsid w:val="005C1535"/>
    <w:rsid w:val="005C2099"/>
    <w:rsid w:val="005C31A0"/>
    <w:rsid w:val="005C5B43"/>
    <w:rsid w:val="005C6E5E"/>
    <w:rsid w:val="005D0002"/>
    <w:rsid w:val="005D03BD"/>
    <w:rsid w:val="005D0E76"/>
    <w:rsid w:val="005D26BE"/>
    <w:rsid w:val="005D2DB7"/>
    <w:rsid w:val="005D4C85"/>
    <w:rsid w:val="005D587B"/>
    <w:rsid w:val="005D6187"/>
    <w:rsid w:val="005D6BDC"/>
    <w:rsid w:val="005D6EE0"/>
    <w:rsid w:val="005D6FA4"/>
    <w:rsid w:val="005D794A"/>
    <w:rsid w:val="005E0334"/>
    <w:rsid w:val="005E0C3D"/>
    <w:rsid w:val="005E14E9"/>
    <w:rsid w:val="005E1BF5"/>
    <w:rsid w:val="005E1E27"/>
    <w:rsid w:val="005E2223"/>
    <w:rsid w:val="005E2F6E"/>
    <w:rsid w:val="005E2FF9"/>
    <w:rsid w:val="005E68C1"/>
    <w:rsid w:val="005E7C2F"/>
    <w:rsid w:val="005F140F"/>
    <w:rsid w:val="005F159C"/>
    <w:rsid w:val="005F18B7"/>
    <w:rsid w:val="005F1BA7"/>
    <w:rsid w:val="005F216C"/>
    <w:rsid w:val="005F21FB"/>
    <w:rsid w:val="005F23ED"/>
    <w:rsid w:val="005F2F82"/>
    <w:rsid w:val="005F3714"/>
    <w:rsid w:val="005F3889"/>
    <w:rsid w:val="005F4BAA"/>
    <w:rsid w:val="005F6314"/>
    <w:rsid w:val="005F7EE1"/>
    <w:rsid w:val="00601B1D"/>
    <w:rsid w:val="0060299F"/>
    <w:rsid w:val="00603E84"/>
    <w:rsid w:val="006041B3"/>
    <w:rsid w:val="006048AD"/>
    <w:rsid w:val="00604938"/>
    <w:rsid w:val="0060594D"/>
    <w:rsid w:val="00606456"/>
    <w:rsid w:val="00606B8B"/>
    <w:rsid w:val="00611CC4"/>
    <w:rsid w:val="006125B1"/>
    <w:rsid w:val="00612A51"/>
    <w:rsid w:val="00612B87"/>
    <w:rsid w:val="0061347B"/>
    <w:rsid w:val="006134B5"/>
    <w:rsid w:val="006146A5"/>
    <w:rsid w:val="006149F7"/>
    <w:rsid w:val="00615BBE"/>
    <w:rsid w:val="00615E3B"/>
    <w:rsid w:val="00616923"/>
    <w:rsid w:val="00616BB4"/>
    <w:rsid w:val="00616E1D"/>
    <w:rsid w:val="00616F5E"/>
    <w:rsid w:val="006170A6"/>
    <w:rsid w:val="006170AD"/>
    <w:rsid w:val="006174BE"/>
    <w:rsid w:val="00623FCF"/>
    <w:rsid w:val="006242DD"/>
    <w:rsid w:val="006256CE"/>
    <w:rsid w:val="006263D3"/>
    <w:rsid w:val="006273A5"/>
    <w:rsid w:val="006300D3"/>
    <w:rsid w:val="00631CAC"/>
    <w:rsid w:val="006321D6"/>
    <w:rsid w:val="00632AD0"/>
    <w:rsid w:val="006336B2"/>
    <w:rsid w:val="00633E3E"/>
    <w:rsid w:val="006341FD"/>
    <w:rsid w:val="00635155"/>
    <w:rsid w:val="0063546A"/>
    <w:rsid w:val="00637451"/>
    <w:rsid w:val="00637FAB"/>
    <w:rsid w:val="006406DC"/>
    <w:rsid w:val="0064140D"/>
    <w:rsid w:val="006414E6"/>
    <w:rsid w:val="006415D3"/>
    <w:rsid w:val="00641894"/>
    <w:rsid w:val="00642D35"/>
    <w:rsid w:val="00643401"/>
    <w:rsid w:val="00645121"/>
    <w:rsid w:val="006456B9"/>
    <w:rsid w:val="00646837"/>
    <w:rsid w:val="00646AFB"/>
    <w:rsid w:val="006479D9"/>
    <w:rsid w:val="0065021F"/>
    <w:rsid w:val="0065427D"/>
    <w:rsid w:val="0065462A"/>
    <w:rsid w:val="006558F9"/>
    <w:rsid w:val="006562FA"/>
    <w:rsid w:val="00656F1A"/>
    <w:rsid w:val="006605CF"/>
    <w:rsid w:val="0066065D"/>
    <w:rsid w:val="006616E3"/>
    <w:rsid w:val="00662F8A"/>
    <w:rsid w:val="00664B2D"/>
    <w:rsid w:val="00667E25"/>
    <w:rsid w:val="006702C4"/>
    <w:rsid w:val="00671373"/>
    <w:rsid w:val="00672E9F"/>
    <w:rsid w:val="0067454D"/>
    <w:rsid w:val="006755D3"/>
    <w:rsid w:val="0067638A"/>
    <w:rsid w:val="00677E41"/>
    <w:rsid w:val="00680D0B"/>
    <w:rsid w:val="006811A1"/>
    <w:rsid w:val="0068278C"/>
    <w:rsid w:val="00682A2F"/>
    <w:rsid w:val="0068337B"/>
    <w:rsid w:val="00683724"/>
    <w:rsid w:val="00683ED3"/>
    <w:rsid w:val="00684C6B"/>
    <w:rsid w:val="006868C0"/>
    <w:rsid w:val="00687BE9"/>
    <w:rsid w:val="006922CC"/>
    <w:rsid w:val="00692BB7"/>
    <w:rsid w:val="00692DA8"/>
    <w:rsid w:val="00693415"/>
    <w:rsid w:val="00693D80"/>
    <w:rsid w:val="0069481F"/>
    <w:rsid w:val="00694AAE"/>
    <w:rsid w:val="00695BE5"/>
    <w:rsid w:val="0069643C"/>
    <w:rsid w:val="006979BF"/>
    <w:rsid w:val="00697E9A"/>
    <w:rsid w:val="006A12FF"/>
    <w:rsid w:val="006A281F"/>
    <w:rsid w:val="006A4477"/>
    <w:rsid w:val="006A5413"/>
    <w:rsid w:val="006A5E80"/>
    <w:rsid w:val="006A61E8"/>
    <w:rsid w:val="006B04A3"/>
    <w:rsid w:val="006B076C"/>
    <w:rsid w:val="006B0953"/>
    <w:rsid w:val="006B0D58"/>
    <w:rsid w:val="006B2482"/>
    <w:rsid w:val="006B4BD0"/>
    <w:rsid w:val="006B5212"/>
    <w:rsid w:val="006B597F"/>
    <w:rsid w:val="006B6793"/>
    <w:rsid w:val="006B7EE6"/>
    <w:rsid w:val="006C24F8"/>
    <w:rsid w:val="006C327F"/>
    <w:rsid w:val="006C35DB"/>
    <w:rsid w:val="006C3739"/>
    <w:rsid w:val="006C3DAC"/>
    <w:rsid w:val="006C55DA"/>
    <w:rsid w:val="006C57D3"/>
    <w:rsid w:val="006C5FA4"/>
    <w:rsid w:val="006C6F1E"/>
    <w:rsid w:val="006C7204"/>
    <w:rsid w:val="006D1E24"/>
    <w:rsid w:val="006D2C09"/>
    <w:rsid w:val="006D3574"/>
    <w:rsid w:val="006D36D9"/>
    <w:rsid w:val="006D3969"/>
    <w:rsid w:val="006D4DB2"/>
    <w:rsid w:val="006D5604"/>
    <w:rsid w:val="006D5D62"/>
    <w:rsid w:val="006D6E9E"/>
    <w:rsid w:val="006D73B0"/>
    <w:rsid w:val="006D7D18"/>
    <w:rsid w:val="006E0A4E"/>
    <w:rsid w:val="006E0ED6"/>
    <w:rsid w:val="006E2D6D"/>
    <w:rsid w:val="006E4787"/>
    <w:rsid w:val="006E4791"/>
    <w:rsid w:val="006E5DE1"/>
    <w:rsid w:val="006E6E3F"/>
    <w:rsid w:val="006E7406"/>
    <w:rsid w:val="006F10A3"/>
    <w:rsid w:val="006F16F1"/>
    <w:rsid w:val="006F2060"/>
    <w:rsid w:val="006F225F"/>
    <w:rsid w:val="006F41E8"/>
    <w:rsid w:val="006F4E48"/>
    <w:rsid w:val="006F666F"/>
    <w:rsid w:val="006F6F7D"/>
    <w:rsid w:val="006F702F"/>
    <w:rsid w:val="006F79E9"/>
    <w:rsid w:val="00701E8C"/>
    <w:rsid w:val="00703E38"/>
    <w:rsid w:val="00704B16"/>
    <w:rsid w:val="00704F0D"/>
    <w:rsid w:val="00706109"/>
    <w:rsid w:val="00706DC8"/>
    <w:rsid w:val="007116E4"/>
    <w:rsid w:val="00711852"/>
    <w:rsid w:val="00712547"/>
    <w:rsid w:val="00712B0F"/>
    <w:rsid w:val="00714CAB"/>
    <w:rsid w:val="00714DD9"/>
    <w:rsid w:val="00716040"/>
    <w:rsid w:val="00716728"/>
    <w:rsid w:val="00717595"/>
    <w:rsid w:val="007214E6"/>
    <w:rsid w:val="007218C3"/>
    <w:rsid w:val="00723813"/>
    <w:rsid w:val="007243F8"/>
    <w:rsid w:val="00725BBA"/>
    <w:rsid w:val="007272B6"/>
    <w:rsid w:val="00732287"/>
    <w:rsid w:val="00732D8D"/>
    <w:rsid w:val="007341CF"/>
    <w:rsid w:val="0073456F"/>
    <w:rsid w:val="0073513A"/>
    <w:rsid w:val="00737596"/>
    <w:rsid w:val="00742F5E"/>
    <w:rsid w:val="00745426"/>
    <w:rsid w:val="00745F37"/>
    <w:rsid w:val="00746C7C"/>
    <w:rsid w:val="00746EE9"/>
    <w:rsid w:val="00751AE2"/>
    <w:rsid w:val="00751B96"/>
    <w:rsid w:val="00752578"/>
    <w:rsid w:val="00753151"/>
    <w:rsid w:val="00753505"/>
    <w:rsid w:val="00753E4C"/>
    <w:rsid w:val="00754972"/>
    <w:rsid w:val="007553CA"/>
    <w:rsid w:val="0075594E"/>
    <w:rsid w:val="00756081"/>
    <w:rsid w:val="00756855"/>
    <w:rsid w:val="00757834"/>
    <w:rsid w:val="00757968"/>
    <w:rsid w:val="00757B0C"/>
    <w:rsid w:val="00757B6C"/>
    <w:rsid w:val="0076103F"/>
    <w:rsid w:val="00761246"/>
    <w:rsid w:val="00761C14"/>
    <w:rsid w:val="0076273A"/>
    <w:rsid w:val="00762A4A"/>
    <w:rsid w:val="00763061"/>
    <w:rsid w:val="00764160"/>
    <w:rsid w:val="00766B60"/>
    <w:rsid w:val="0076725C"/>
    <w:rsid w:val="007716B6"/>
    <w:rsid w:val="00771BA8"/>
    <w:rsid w:val="00771F86"/>
    <w:rsid w:val="007728A2"/>
    <w:rsid w:val="007744AD"/>
    <w:rsid w:val="00774C21"/>
    <w:rsid w:val="00780406"/>
    <w:rsid w:val="0078188A"/>
    <w:rsid w:val="00782FEE"/>
    <w:rsid w:val="0078312D"/>
    <w:rsid w:val="00785253"/>
    <w:rsid w:val="007877D5"/>
    <w:rsid w:val="00787E6B"/>
    <w:rsid w:val="00790A64"/>
    <w:rsid w:val="00791CFD"/>
    <w:rsid w:val="007929B4"/>
    <w:rsid w:val="00796B9D"/>
    <w:rsid w:val="00797746"/>
    <w:rsid w:val="007A0A52"/>
    <w:rsid w:val="007A0C02"/>
    <w:rsid w:val="007A1A6B"/>
    <w:rsid w:val="007A1A9F"/>
    <w:rsid w:val="007A3029"/>
    <w:rsid w:val="007A361F"/>
    <w:rsid w:val="007A4AA7"/>
    <w:rsid w:val="007A5619"/>
    <w:rsid w:val="007A5F97"/>
    <w:rsid w:val="007A66C1"/>
    <w:rsid w:val="007A6AE8"/>
    <w:rsid w:val="007A75FE"/>
    <w:rsid w:val="007A78A8"/>
    <w:rsid w:val="007B0491"/>
    <w:rsid w:val="007B057B"/>
    <w:rsid w:val="007B3149"/>
    <w:rsid w:val="007B5036"/>
    <w:rsid w:val="007B5445"/>
    <w:rsid w:val="007B6419"/>
    <w:rsid w:val="007B703A"/>
    <w:rsid w:val="007B7131"/>
    <w:rsid w:val="007B7CA7"/>
    <w:rsid w:val="007C077D"/>
    <w:rsid w:val="007C07A8"/>
    <w:rsid w:val="007C2441"/>
    <w:rsid w:val="007C310E"/>
    <w:rsid w:val="007C3369"/>
    <w:rsid w:val="007C4C1C"/>
    <w:rsid w:val="007C4F91"/>
    <w:rsid w:val="007C56D6"/>
    <w:rsid w:val="007C7480"/>
    <w:rsid w:val="007D4699"/>
    <w:rsid w:val="007D46EC"/>
    <w:rsid w:val="007D607F"/>
    <w:rsid w:val="007D6419"/>
    <w:rsid w:val="007D772E"/>
    <w:rsid w:val="007E050D"/>
    <w:rsid w:val="007E06B5"/>
    <w:rsid w:val="007E0769"/>
    <w:rsid w:val="007E2837"/>
    <w:rsid w:val="007E28C5"/>
    <w:rsid w:val="007E387E"/>
    <w:rsid w:val="007E3D8C"/>
    <w:rsid w:val="007E5DC4"/>
    <w:rsid w:val="007E637D"/>
    <w:rsid w:val="007E7E11"/>
    <w:rsid w:val="007F037E"/>
    <w:rsid w:val="007F169F"/>
    <w:rsid w:val="007F27A8"/>
    <w:rsid w:val="007F306F"/>
    <w:rsid w:val="007F461B"/>
    <w:rsid w:val="007F6996"/>
    <w:rsid w:val="007F7792"/>
    <w:rsid w:val="007F7D59"/>
    <w:rsid w:val="007F7DAA"/>
    <w:rsid w:val="0080007B"/>
    <w:rsid w:val="00800580"/>
    <w:rsid w:val="0080185D"/>
    <w:rsid w:val="008025F6"/>
    <w:rsid w:val="0080277F"/>
    <w:rsid w:val="00802DBE"/>
    <w:rsid w:val="008031DA"/>
    <w:rsid w:val="008035F5"/>
    <w:rsid w:val="00803832"/>
    <w:rsid w:val="00805572"/>
    <w:rsid w:val="00805F20"/>
    <w:rsid w:val="0080646B"/>
    <w:rsid w:val="0080779D"/>
    <w:rsid w:val="00810E84"/>
    <w:rsid w:val="0081227F"/>
    <w:rsid w:val="00812CB8"/>
    <w:rsid w:val="008130D7"/>
    <w:rsid w:val="00814643"/>
    <w:rsid w:val="00814C3A"/>
    <w:rsid w:val="008157EC"/>
    <w:rsid w:val="008163A1"/>
    <w:rsid w:val="00816614"/>
    <w:rsid w:val="00816620"/>
    <w:rsid w:val="00820EEE"/>
    <w:rsid w:val="008217DB"/>
    <w:rsid w:val="00822871"/>
    <w:rsid w:val="00822AC9"/>
    <w:rsid w:val="00823826"/>
    <w:rsid w:val="00824CDA"/>
    <w:rsid w:val="0082728A"/>
    <w:rsid w:val="00830214"/>
    <w:rsid w:val="008304B7"/>
    <w:rsid w:val="00830508"/>
    <w:rsid w:val="00830B76"/>
    <w:rsid w:val="00832641"/>
    <w:rsid w:val="00832FD5"/>
    <w:rsid w:val="00833CD0"/>
    <w:rsid w:val="0083474E"/>
    <w:rsid w:val="00834997"/>
    <w:rsid w:val="0083633E"/>
    <w:rsid w:val="00837ECC"/>
    <w:rsid w:val="008410FF"/>
    <w:rsid w:val="0084207A"/>
    <w:rsid w:val="00843D83"/>
    <w:rsid w:val="008447A5"/>
    <w:rsid w:val="0084526D"/>
    <w:rsid w:val="00846062"/>
    <w:rsid w:val="0084705D"/>
    <w:rsid w:val="00850A6F"/>
    <w:rsid w:val="008514EB"/>
    <w:rsid w:val="00852484"/>
    <w:rsid w:val="00852D1A"/>
    <w:rsid w:val="008530B8"/>
    <w:rsid w:val="00854470"/>
    <w:rsid w:val="00855FA8"/>
    <w:rsid w:val="0085683F"/>
    <w:rsid w:val="00860C7B"/>
    <w:rsid w:val="00863311"/>
    <w:rsid w:val="008642FC"/>
    <w:rsid w:val="008654B1"/>
    <w:rsid w:val="00866FEA"/>
    <w:rsid w:val="00867347"/>
    <w:rsid w:val="00870672"/>
    <w:rsid w:val="008722E5"/>
    <w:rsid w:val="00872D48"/>
    <w:rsid w:val="00873617"/>
    <w:rsid w:val="0087390C"/>
    <w:rsid w:val="00875D54"/>
    <w:rsid w:val="00876539"/>
    <w:rsid w:val="008778A2"/>
    <w:rsid w:val="0088000D"/>
    <w:rsid w:val="00880BE2"/>
    <w:rsid w:val="00880DBE"/>
    <w:rsid w:val="008823CE"/>
    <w:rsid w:val="008835C3"/>
    <w:rsid w:val="008837BA"/>
    <w:rsid w:val="0088469D"/>
    <w:rsid w:val="008849BF"/>
    <w:rsid w:val="00886817"/>
    <w:rsid w:val="00886F92"/>
    <w:rsid w:val="00887F75"/>
    <w:rsid w:val="00890BCD"/>
    <w:rsid w:val="00891757"/>
    <w:rsid w:val="00892616"/>
    <w:rsid w:val="00893678"/>
    <w:rsid w:val="008947D2"/>
    <w:rsid w:val="00895326"/>
    <w:rsid w:val="0089678B"/>
    <w:rsid w:val="00896FFE"/>
    <w:rsid w:val="008A1733"/>
    <w:rsid w:val="008A4B52"/>
    <w:rsid w:val="008A78A1"/>
    <w:rsid w:val="008B025F"/>
    <w:rsid w:val="008B10B3"/>
    <w:rsid w:val="008B2EBA"/>
    <w:rsid w:val="008B3591"/>
    <w:rsid w:val="008B4776"/>
    <w:rsid w:val="008B5348"/>
    <w:rsid w:val="008B6145"/>
    <w:rsid w:val="008B6A05"/>
    <w:rsid w:val="008B77EA"/>
    <w:rsid w:val="008B7AA8"/>
    <w:rsid w:val="008C152C"/>
    <w:rsid w:val="008C178B"/>
    <w:rsid w:val="008C2A4D"/>
    <w:rsid w:val="008C3840"/>
    <w:rsid w:val="008C57E1"/>
    <w:rsid w:val="008C6C7E"/>
    <w:rsid w:val="008C7535"/>
    <w:rsid w:val="008D03E0"/>
    <w:rsid w:val="008D0E03"/>
    <w:rsid w:val="008E0504"/>
    <w:rsid w:val="008E263D"/>
    <w:rsid w:val="008E3B1C"/>
    <w:rsid w:val="008E3BE6"/>
    <w:rsid w:val="008E3FEE"/>
    <w:rsid w:val="008E4151"/>
    <w:rsid w:val="008F2D37"/>
    <w:rsid w:val="008F3431"/>
    <w:rsid w:val="008F4E02"/>
    <w:rsid w:val="008F56EC"/>
    <w:rsid w:val="008F5B84"/>
    <w:rsid w:val="008F7240"/>
    <w:rsid w:val="00900307"/>
    <w:rsid w:val="0090039E"/>
    <w:rsid w:val="0090060E"/>
    <w:rsid w:val="009006FE"/>
    <w:rsid w:val="00900A79"/>
    <w:rsid w:val="009019E1"/>
    <w:rsid w:val="00902408"/>
    <w:rsid w:val="00903361"/>
    <w:rsid w:val="00904042"/>
    <w:rsid w:val="00905370"/>
    <w:rsid w:val="00905962"/>
    <w:rsid w:val="009060CE"/>
    <w:rsid w:val="00906C58"/>
    <w:rsid w:val="00907155"/>
    <w:rsid w:val="009077FF"/>
    <w:rsid w:val="00911BA0"/>
    <w:rsid w:val="009141A1"/>
    <w:rsid w:val="00914A87"/>
    <w:rsid w:val="00916193"/>
    <w:rsid w:val="00916E62"/>
    <w:rsid w:val="0091770F"/>
    <w:rsid w:val="0092084A"/>
    <w:rsid w:val="0092140A"/>
    <w:rsid w:val="00923720"/>
    <w:rsid w:val="009241FB"/>
    <w:rsid w:val="00924B9D"/>
    <w:rsid w:val="009253CB"/>
    <w:rsid w:val="00932FA6"/>
    <w:rsid w:val="00937277"/>
    <w:rsid w:val="00941308"/>
    <w:rsid w:val="0094473F"/>
    <w:rsid w:val="009449A2"/>
    <w:rsid w:val="00944E0C"/>
    <w:rsid w:val="00945F08"/>
    <w:rsid w:val="0094774A"/>
    <w:rsid w:val="00951DC5"/>
    <w:rsid w:val="00952287"/>
    <w:rsid w:val="00954EE4"/>
    <w:rsid w:val="009566EB"/>
    <w:rsid w:val="00957742"/>
    <w:rsid w:val="00963A49"/>
    <w:rsid w:val="00963CD6"/>
    <w:rsid w:val="00963ED1"/>
    <w:rsid w:val="00965DEC"/>
    <w:rsid w:val="00966853"/>
    <w:rsid w:val="00966B34"/>
    <w:rsid w:val="00967C23"/>
    <w:rsid w:val="009707CA"/>
    <w:rsid w:val="0097164F"/>
    <w:rsid w:val="0097316A"/>
    <w:rsid w:val="0097321D"/>
    <w:rsid w:val="00974FE6"/>
    <w:rsid w:val="009767B5"/>
    <w:rsid w:val="00976D44"/>
    <w:rsid w:val="009802A4"/>
    <w:rsid w:val="00980E79"/>
    <w:rsid w:val="00980F02"/>
    <w:rsid w:val="0098157D"/>
    <w:rsid w:val="00983604"/>
    <w:rsid w:val="00983806"/>
    <w:rsid w:val="00983B1F"/>
    <w:rsid w:val="00984C92"/>
    <w:rsid w:val="00984F6F"/>
    <w:rsid w:val="0098572E"/>
    <w:rsid w:val="0098690A"/>
    <w:rsid w:val="009876B2"/>
    <w:rsid w:val="00987DB5"/>
    <w:rsid w:val="00991447"/>
    <w:rsid w:val="00994596"/>
    <w:rsid w:val="0099463C"/>
    <w:rsid w:val="00994A03"/>
    <w:rsid w:val="00994C23"/>
    <w:rsid w:val="00994D79"/>
    <w:rsid w:val="00997F9E"/>
    <w:rsid w:val="009A0DAC"/>
    <w:rsid w:val="009A184D"/>
    <w:rsid w:val="009A2F08"/>
    <w:rsid w:val="009A4B47"/>
    <w:rsid w:val="009A5DB0"/>
    <w:rsid w:val="009A5E01"/>
    <w:rsid w:val="009A6E4E"/>
    <w:rsid w:val="009A7438"/>
    <w:rsid w:val="009B1E34"/>
    <w:rsid w:val="009B245D"/>
    <w:rsid w:val="009B2A71"/>
    <w:rsid w:val="009B33ED"/>
    <w:rsid w:val="009B3539"/>
    <w:rsid w:val="009B3E00"/>
    <w:rsid w:val="009B4B07"/>
    <w:rsid w:val="009B51F7"/>
    <w:rsid w:val="009B6748"/>
    <w:rsid w:val="009B7EB1"/>
    <w:rsid w:val="009C0BC2"/>
    <w:rsid w:val="009C1319"/>
    <w:rsid w:val="009C292D"/>
    <w:rsid w:val="009C37E7"/>
    <w:rsid w:val="009C436E"/>
    <w:rsid w:val="009C43E0"/>
    <w:rsid w:val="009D06B9"/>
    <w:rsid w:val="009D075F"/>
    <w:rsid w:val="009D0E1B"/>
    <w:rsid w:val="009D1CC4"/>
    <w:rsid w:val="009D289C"/>
    <w:rsid w:val="009D2B2D"/>
    <w:rsid w:val="009D3253"/>
    <w:rsid w:val="009D3285"/>
    <w:rsid w:val="009D37DF"/>
    <w:rsid w:val="009D416D"/>
    <w:rsid w:val="009D451A"/>
    <w:rsid w:val="009D4A1E"/>
    <w:rsid w:val="009D4D93"/>
    <w:rsid w:val="009D5463"/>
    <w:rsid w:val="009D5FDA"/>
    <w:rsid w:val="009D7270"/>
    <w:rsid w:val="009D7598"/>
    <w:rsid w:val="009E075E"/>
    <w:rsid w:val="009E1A71"/>
    <w:rsid w:val="009E274F"/>
    <w:rsid w:val="009E3546"/>
    <w:rsid w:val="009E6B4E"/>
    <w:rsid w:val="009E7330"/>
    <w:rsid w:val="009F0DDF"/>
    <w:rsid w:val="009F2DF8"/>
    <w:rsid w:val="009F327F"/>
    <w:rsid w:val="009F34D1"/>
    <w:rsid w:val="009F3E27"/>
    <w:rsid w:val="009F60E9"/>
    <w:rsid w:val="009F672D"/>
    <w:rsid w:val="009F6834"/>
    <w:rsid w:val="009F6CAA"/>
    <w:rsid w:val="009F7F8B"/>
    <w:rsid w:val="00A00023"/>
    <w:rsid w:val="00A00931"/>
    <w:rsid w:val="00A00DE5"/>
    <w:rsid w:val="00A0255F"/>
    <w:rsid w:val="00A03703"/>
    <w:rsid w:val="00A037B5"/>
    <w:rsid w:val="00A03872"/>
    <w:rsid w:val="00A03EAC"/>
    <w:rsid w:val="00A04C6C"/>
    <w:rsid w:val="00A05C83"/>
    <w:rsid w:val="00A06708"/>
    <w:rsid w:val="00A0760D"/>
    <w:rsid w:val="00A1133B"/>
    <w:rsid w:val="00A12E94"/>
    <w:rsid w:val="00A1389B"/>
    <w:rsid w:val="00A138B5"/>
    <w:rsid w:val="00A14013"/>
    <w:rsid w:val="00A143DB"/>
    <w:rsid w:val="00A146D0"/>
    <w:rsid w:val="00A14D1A"/>
    <w:rsid w:val="00A15649"/>
    <w:rsid w:val="00A17508"/>
    <w:rsid w:val="00A176C4"/>
    <w:rsid w:val="00A17EDF"/>
    <w:rsid w:val="00A20AEB"/>
    <w:rsid w:val="00A21041"/>
    <w:rsid w:val="00A2358E"/>
    <w:rsid w:val="00A23682"/>
    <w:rsid w:val="00A240BB"/>
    <w:rsid w:val="00A24819"/>
    <w:rsid w:val="00A24B66"/>
    <w:rsid w:val="00A25931"/>
    <w:rsid w:val="00A26870"/>
    <w:rsid w:val="00A26C30"/>
    <w:rsid w:val="00A2705E"/>
    <w:rsid w:val="00A27687"/>
    <w:rsid w:val="00A30FAC"/>
    <w:rsid w:val="00A3195D"/>
    <w:rsid w:val="00A31A42"/>
    <w:rsid w:val="00A31DE3"/>
    <w:rsid w:val="00A339BF"/>
    <w:rsid w:val="00A3490F"/>
    <w:rsid w:val="00A371BD"/>
    <w:rsid w:val="00A40F1A"/>
    <w:rsid w:val="00A4488B"/>
    <w:rsid w:val="00A44BCB"/>
    <w:rsid w:val="00A45888"/>
    <w:rsid w:val="00A50E74"/>
    <w:rsid w:val="00A50EB0"/>
    <w:rsid w:val="00A526BC"/>
    <w:rsid w:val="00A613AC"/>
    <w:rsid w:val="00A6371D"/>
    <w:rsid w:val="00A63A59"/>
    <w:rsid w:val="00A64650"/>
    <w:rsid w:val="00A65011"/>
    <w:rsid w:val="00A6565C"/>
    <w:rsid w:val="00A657B5"/>
    <w:rsid w:val="00A65D15"/>
    <w:rsid w:val="00A66FA9"/>
    <w:rsid w:val="00A67647"/>
    <w:rsid w:val="00A7082A"/>
    <w:rsid w:val="00A70DC6"/>
    <w:rsid w:val="00A72610"/>
    <w:rsid w:val="00A73225"/>
    <w:rsid w:val="00A73AAD"/>
    <w:rsid w:val="00A73B0D"/>
    <w:rsid w:val="00A73B72"/>
    <w:rsid w:val="00A748C4"/>
    <w:rsid w:val="00A74ADB"/>
    <w:rsid w:val="00A7670B"/>
    <w:rsid w:val="00A8014C"/>
    <w:rsid w:val="00A80BF5"/>
    <w:rsid w:val="00A81304"/>
    <w:rsid w:val="00A81D68"/>
    <w:rsid w:val="00A8409C"/>
    <w:rsid w:val="00A84359"/>
    <w:rsid w:val="00A84B9D"/>
    <w:rsid w:val="00A85717"/>
    <w:rsid w:val="00A8604B"/>
    <w:rsid w:val="00A86199"/>
    <w:rsid w:val="00A86B2C"/>
    <w:rsid w:val="00A92078"/>
    <w:rsid w:val="00A925C1"/>
    <w:rsid w:val="00A931DC"/>
    <w:rsid w:val="00A94C66"/>
    <w:rsid w:val="00A94E26"/>
    <w:rsid w:val="00A960E3"/>
    <w:rsid w:val="00AA0F75"/>
    <w:rsid w:val="00AA1554"/>
    <w:rsid w:val="00AA25C2"/>
    <w:rsid w:val="00AA40AD"/>
    <w:rsid w:val="00AA573D"/>
    <w:rsid w:val="00AA5754"/>
    <w:rsid w:val="00AA7105"/>
    <w:rsid w:val="00AA74A7"/>
    <w:rsid w:val="00AB446A"/>
    <w:rsid w:val="00AB530C"/>
    <w:rsid w:val="00AB693A"/>
    <w:rsid w:val="00AB6B7D"/>
    <w:rsid w:val="00AB720C"/>
    <w:rsid w:val="00AB7761"/>
    <w:rsid w:val="00AB7B5E"/>
    <w:rsid w:val="00AC0B1B"/>
    <w:rsid w:val="00AC1F47"/>
    <w:rsid w:val="00AC2066"/>
    <w:rsid w:val="00AC5025"/>
    <w:rsid w:val="00AC50FF"/>
    <w:rsid w:val="00AC54EA"/>
    <w:rsid w:val="00AC6546"/>
    <w:rsid w:val="00AC65DE"/>
    <w:rsid w:val="00AC67B1"/>
    <w:rsid w:val="00AD0333"/>
    <w:rsid w:val="00AD1D93"/>
    <w:rsid w:val="00AD1D94"/>
    <w:rsid w:val="00AD1FB9"/>
    <w:rsid w:val="00AD392E"/>
    <w:rsid w:val="00AD4488"/>
    <w:rsid w:val="00AD4ABA"/>
    <w:rsid w:val="00AD4D14"/>
    <w:rsid w:val="00AD67FC"/>
    <w:rsid w:val="00AD7D70"/>
    <w:rsid w:val="00AE10F7"/>
    <w:rsid w:val="00AE2E09"/>
    <w:rsid w:val="00AE3FFF"/>
    <w:rsid w:val="00AE5CCD"/>
    <w:rsid w:val="00AF07F8"/>
    <w:rsid w:val="00AF172F"/>
    <w:rsid w:val="00AF283F"/>
    <w:rsid w:val="00AF3F35"/>
    <w:rsid w:val="00AF4650"/>
    <w:rsid w:val="00AF5257"/>
    <w:rsid w:val="00AF6CEA"/>
    <w:rsid w:val="00B00D84"/>
    <w:rsid w:val="00B032A1"/>
    <w:rsid w:val="00B03444"/>
    <w:rsid w:val="00B04072"/>
    <w:rsid w:val="00B04E38"/>
    <w:rsid w:val="00B0521A"/>
    <w:rsid w:val="00B06B80"/>
    <w:rsid w:val="00B11587"/>
    <w:rsid w:val="00B11D0E"/>
    <w:rsid w:val="00B12083"/>
    <w:rsid w:val="00B124E7"/>
    <w:rsid w:val="00B130D3"/>
    <w:rsid w:val="00B13203"/>
    <w:rsid w:val="00B13CB7"/>
    <w:rsid w:val="00B13D07"/>
    <w:rsid w:val="00B13F7E"/>
    <w:rsid w:val="00B14866"/>
    <w:rsid w:val="00B14B00"/>
    <w:rsid w:val="00B14DC0"/>
    <w:rsid w:val="00B158A3"/>
    <w:rsid w:val="00B15BF2"/>
    <w:rsid w:val="00B169CE"/>
    <w:rsid w:val="00B16C4F"/>
    <w:rsid w:val="00B17A38"/>
    <w:rsid w:val="00B204D6"/>
    <w:rsid w:val="00B20E56"/>
    <w:rsid w:val="00B21C42"/>
    <w:rsid w:val="00B23364"/>
    <w:rsid w:val="00B2362D"/>
    <w:rsid w:val="00B23EA6"/>
    <w:rsid w:val="00B249FB"/>
    <w:rsid w:val="00B24F8D"/>
    <w:rsid w:val="00B25905"/>
    <w:rsid w:val="00B26B32"/>
    <w:rsid w:val="00B30ED0"/>
    <w:rsid w:val="00B3158E"/>
    <w:rsid w:val="00B32B56"/>
    <w:rsid w:val="00B33F92"/>
    <w:rsid w:val="00B3411C"/>
    <w:rsid w:val="00B342E0"/>
    <w:rsid w:val="00B342EB"/>
    <w:rsid w:val="00B3659D"/>
    <w:rsid w:val="00B365DB"/>
    <w:rsid w:val="00B37948"/>
    <w:rsid w:val="00B405CE"/>
    <w:rsid w:val="00B413AB"/>
    <w:rsid w:val="00B4269C"/>
    <w:rsid w:val="00B43C26"/>
    <w:rsid w:val="00B4425E"/>
    <w:rsid w:val="00B443BA"/>
    <w:rsid w:val="00B44D49"/>
    <w:rsid w:val="00B46D39"/>
    <w:rsid w:val="00B4723C"/>
    <w:rsid w:val="00B53902"/>
    <w:rsid w:val="00B53FB6"/>
    <w:rsid w:val="00B54BA5"/>
    <w:rsid w:val="00B5660A"/>
    <w:rsid w:val="00B57526"/>
    <w:rsid w:val="00B57FC2"/>
    <w:rsid w:val="00B606C1"/>
    <w:rsid w:val="00B607F1"/>
    <w:rsid w:val="00B60975"/>
    <w:rsid w:val="00B6120D"/>
    <w:rsid w:val="00B614B8"/>
    <w:rsid w:val="00B617E6"/>
    <w:rsid w:val="00B63356"/>
    <w:rsid w:val="00B647FB"/>
    <w:rsid w:val="00B64E0B"/>
    <w:rsid w:val="00B65A77"/>
    <w:rsid w:val="00B65D23"/>
    <w:rsid w:val="00B66093"/>
    <w:rsid w:val="00B668A7"/>
    <w:rsid w:val="00B672FC"/>
    <w:rsid w:val="00B70889"/>
    <w:rsid w:val="00B70F37"/>
    <w:rsid w:val="00B71D6D"/>
    <w:rsid w:val="00B73324"/>
    <w:rsid w:val="00B73F9D"/>
    <w:rsid w:val="00B740B9"/>
    <w:rsid w:val="00B74869"/>
    <w:rsid w:val="00B777E5"/>
    <w:rsid w:val="00B77F15"/>
    <w:rsid w:val="00B80FB0"/>
    <w:rsid w:val="00B8117B"/>
    <w:rsid w:val="00B83C6E"/>
    <w:rsid w:val="00B86232"/>
    <w:rsid w:val="00B86E07"/>
    <w:rsid w:val="00B87253"/>
    <w:rsid w:val="00B87E83"/>
    <w:rsid w:val="00B9134F"/>
    <w:rsid w:val="00B9238D"/>
    <w:rsid w:val="00B9297E"/>
    <w:rsid w:val="00B92BAF"/>
    <w:rsid w:val="00B92D97"/>
    <w:rsid w:val="00B92F77"/>
    <w:rsid w:val="00B93FC6"/>
    <w:rsid w:val="00B941BA"/>
    <w:rsid w:val="00B9448A"/>
    <w:rsid w:val="00B95368"/>
    <w:rsid w:val="00B959E5"/>
    <w:rsid w:val="00B97226"/>
    <w:rsid w:val="00BA0B0F"/>
    <w:rsid w:val="00BA1047"/>
    <w:rsid w:val="00BA20BC"/>
    <w:rsid w:val="00BA2C08"/>
    <w:rsid w:val="00BA560E"/>
    <w:rsid w:val="00BA5662"/>
    <w:rsid w:val="00BA6128"/>
    <w:rsid w:val="00BA7C9C"/>
    <w:rsid w:val="00BB041A"/>
    <w:rsid w:val="00BB1469"/>
    <w:rsid w:val="00BB1691"/>
    <w:rsid w:val="00BB1CBF"/>
    <w:rsid w:val="00BB2C82"/>
    <w:rsid w:val="00BB6429"/>
    <w:rsid w:val="00BB70B3"/>
    <w:rsid w:val="00BB7CE5"/>
    <w:rsid w:val="00BC0741"/>
    <w:rsid w:val="00BC2519"/>
    <w:rsid w:val="00BC2785"/>
    <w:rsid w:val="00BC2876"/>
    <w:rsid w:val="00BC4615"/>
    <w:rsid w:val="00BC470E"/>
    <w:rsid w:val="00BC604F"/>
    <w:rsid w:val="00BD4C7B"/>
    <w:rsid w:val="00BD7B6D"/>
    <w:rsid w:val="00BD7DF8"/>
    <w:rsid w:val="00BE07A5"/>
    <w:rsid w:val="00BE0C34"/>
    <w:rsid w:val="00BE2884"/>
    <w:rsid w:val="00BE37D3"/>
    <w:rsid w:val="00BE3DB6"/>
    <w:rsid w:val="00BE54F6"/>
    <w:rsid w:val="00BE5740"/>
    <w:rsid w:val="00BE63E9"/>
    <w:rsid w:val="00BE6821"/>
    <w:rsid w:val="00BE6936"/>
    <w:rsid w:val="00BE75CE"/>
    <w:rsid w:val="00BE78B4"/>
    <w:rsid w:val="00BF01C7"/>
    <w:rsid w:val="00BF072B"/>
    <w:rsid w:val="00BF0AE8"/>
    <w:rsid w:val="00BF12D7"/>
    <w:rsid w:val="00BF2371"/>
    <w:rsid w:val="00BF3BA8"/>
    <w:rsid w:val="00BF4286"/>
    <w:rsid w:val="00BF6455"/>
    <w:rsid w:val="00BF7A04"/>
    <w:rsid w:val="00BF7A38"/>
    <w:rsid w:val="00C00EB6"/>
    <w:rsid w:val="00C0187E"/>
    <w:rsid w:val="00C01DC7"/>
    <w:rsid w:val="00C0247E"/>
    <w:rsid w:val="00C10007"/>
    <w:rsid w:val="00C100A3"/>
    <w:rsid w:val="00C108E6"/>
    <w:rsid w:val="00C12D62"/>
    <w:rsid w:val="00C1455E"/>
    <w:rsid w:val="00C22043"/>
    <w:rsid w:val="00C223F1"/>
    <w:rsid w:val="00C228D1"/>
    <w:rsid w:val="00C23B89"/>
    <w:rsid w:val="00C2467F"/>
    <w:rsid w:val="00C24E26"/>
    <w:rsid w:val="00C25075"/>
    <w:rsid w:val="00C26CB0"/>
    <w:rsid w:val="00C2738A"/>
    <w:rsid w:val="00C32543"/>
    <w:rsid w:val="00C32F0F"/>
    <w:rsid w:val="00C350EB"/>
    <w:rsid w:val="00C40015"/>
    <w:rsid w:val="00C40F7C"/>
    <w:rsid w:val="00C40FCF"/>
    <w:rsid w:val="00C41C9F"/>
    <w:rsid w:val="00C42863"/>
    <w:rsid w:val="00C445DF"/>
    <w:rsid w:val="00C44828"/>
    <w:rsid w:val="00C46E3F"/>
    <w:rsid w:val="00C47153"/>
    <w:rsid w:val="00C4789D"/>
    <w:rsid w:val="00C47A25"/>
    <w:rsid w:val="00C51A48"/>
    <w:rsid w:val="00C53055"/>
    <w:rsid w:val="00C53E65"/>
    <w:rsid w:val="00C55477"/>
    <w:rsid w:val="00C55D4D"/>
    <w:rsid w:val="00C56058"/>
    <w:rsid w:val="00C574DD"/>
    <w:rsid w:val="00C60E2C"/>
    <w:rsid w:val="00C60FA0"/>
    <w:rsid w:val="00C613F6"/>
    <w:rsid w:val="00C62B73"/>
    <w:rsid w:val="00C63A64"/>
    <w:rsid w:val="00C6586D"/>
    <w:rsid w:val="00C65927"/>
    <w:rsid w:val="00C67117"/>
    <w:rsid w:val="00C7007A"/>
    <w:rsid w:val="00C70909"/>
    <w:rsid w:val="00C71A39"/>
    <w:rsid w:val="00C727B8"/>
    <w:rsid w:val="00C72E98"/>
    <w:rsid w:val="00C758E5"/>
    <w:rsid w:val="00C763BE"/>
    <w:rsid w:val="00C805ED"/>
    <w:rsid w:val="00C81948"/>
    <w:rsid w:val="00C81F1A"/>
    <w:rsid w:val="00C8201D"/>
    <w:rsid w:val="00C823BB"/>
    <w:rsid w:val="00C82BDE"/>
    <w:rsid w:val="00C82EC3"/>
    <w:rsid w:val="00C82EDC"/>
    <w:rsid w:val="00C8504B"/>
    <w:rsid w:val="00C8534F"/>
    <w:rsid w:val="00C858ED"/>
    <w:rsid w:val="00C864FE"/>
    <w:rsid w:val="00C90159"/>
    <w:rsid w:val="00C9117B"/>
    <w:rsid w:val="00C91390"/>
    <w:rsid w:val="00C92FA0"/>
    <w:rsid w:val="00C93E01"/>
    <w:rsid w:val="00C94864"/>
    <w:rsid w:val="00C95389"/>
    <w:rsid w:val="00C95E58"/>
    <w:rsid w:val="00C97925"/>
    <w:rsid w:val="00CA02FA"/>
    <w:rsid w:val="00CA2E53"/>
    <w:rsid w:val="00CA4659"/>
    <w:rsid w:val="00CA4D82"/>
    <w:rsid w:val="00CA5C62"/>
    <w:rsid w:val="00CA61FD"/>
    <w:rsid w:val="00CB109F"/>
    <w:rsid w:val="00CB1DE7"/>
    <w:rsid w:val="00CB2E92"/>
    <w:rsid w:val="00CB2FD2"/>
    <w:rsid w:val="00CB380C"/>
    <w:rsid w:val="00CB5C83"/>
    <w:rsid w:val="00CC1583"/>
    <w:rsid w:val="00CC1DDE"/>
    <w:rsid w:val="00CC1FF6"/>
    <w:rsid w:val="00CC2798"/>
    <w:rsid w:val="00CC3612"/>
    <w:rsid w:val="00CC3E10"/>
    <w:rsid w:val="00CC4074"/>
    <w:rsid w:val="00CC52FB"/>
    <w:rsid w:val="00CC6075"/>
    <w:rsid w:val="00CC668F"/>
    <w:rsid w:val="00CC71B6"/>
    <w:rsid w:val="00CC7467"/>
    <w:rsid w:val="00CD0E17"/>
    <w:rsid w:val="00CD31BA"/>
    <w:rsid w:val="00CD3921"/>
    <w:rsid w:val="00CD3BC0"/>
    <w:rsid w:val="00CD6526"/>
    <w:rsid w:val="00CD673F"/>
    <w:rsid w:val="00CE25F0"/>
    <w:rsid w:val="00CE4D9B"/>
    <w:rsid w:val="00CE5A8C"/>
    <w:rsid w:val="00CE5ABD"/>
    <w:rsid w:val="00CF0C85"/>
    <w:rsid w:val="00CF0E15"/>
    <w:rsid w:val="00CF2BB1"/>
    <w:rsid w:val="00CF36EF"/>
    <w:rsid w:val="00CF3761"/>
    <w:rsid w:val="00CF3B2D"/>
    <w:rsid w:val="00CF55A0"/>
    <w:rsid w:val="00CF6D9F"/>
    <w:rsid w:val="00CF6F32"/>
    <w:rsid w:val="00D005A5"/>
    <w:rsid w:val="00D006BA"/>
    <w:rsid w:val="00D01A39"/>
    <w:rsid w:val="00D01BC1"/>
    <w:rsid w:val="00D01F73"/>
    <w:rsid w:val="00D03DA7"/>
    <w:rsid w:val="00D040C1"/>
    <w:rsid w:val="00D0444D"/>
    <w:rsid w:val="00D05260"/>
    <w:rsid w:val="00D0592E"/>
    <w:rsid w:val="00D06B19"/>
    <w:rsid w:val="00D0739A"/>
    <w:rsid w:val="00D07AAC"/>
    <w:rsid w:val="00D12222"/>
    <w:rsid w:val="00D13165"/>
    <w:rsid w:val="00D13B0B"/>
    <w:rsid w:val="00D13E87"/>
    <w:rsid w:val="00D14875"/>
    <w:rsid w:val="00D178E8"/>
    <w:rsid w:val="00D17D5C"/>
    <w:rsid w:val="00D200E4"/>
    <w:rsid w:val="00D250AD"/>
    <w:rsid w:val="00D251F4"/>
    <w:rsid w:val="00D25299"/>
    <w:rsid w:val="00D258BB"/>
    <w:rsid w:val="00D25F76"/>
    <w:rsid w:val="00D26745"/>
    <w:rsid w:val="00D27626"/>
    <w:rsid w:val="00D3075E"/>
    <w:rsid w:val="00D30A5B"/>
    <w:rsid w:val="00D31049"/>
    <w:rsid w:val="00D312C1"/>
    <w:rsid w:val="00D3170D"/>
    <w:rsid w:val="00D335AD"/>
    <w:rsid w:val="00D33FA5"/>
    <w:rsid w:val="00D3442F"/>
    <w:rsid w:val="00D346D4"/>
    <w:rsid w:val="00D34725"/>
    <w:rsid w:val="00D3537D"/>
    <w:rsid w:val="00D3558C"/>
    <w:rsid w:val="00D36FBF"/>
    <w:rsid w:val="00D41A04"/>
    <w:rsid w:val="00D425D7"/>
    <w:rsid w:val="00D43824"/>
    <w:rsid w:val="00D43AD9"/>
    <w:rsid w:val="00D44E0F"/>
    <w:rsid w:val="00D45367"/>
    <w:rsid w:val="00D45617"/>
    <w:rsid w:val="00D47422"/>
    <w:rsid w:val="00D5014D"/>
    <w:rsid w:val="00D50578"/>
    <w:rsid w:val="00D510DA"/>
    <w:rsid w:val="00D527A5"/>
    <w:rsid w:val="00D52AF0"/>
    <w:rsid w:val="00D52E3B"/>
    <w:rsid w:val="00D53511"/>
    <w:rsid w:val="00D55901"/>
    <w:rsid w:val="00D5599F"/>
    <w:rsid w:val="00D55D0B"/>
    <w:rsid w:val="00D56531"/>
    <w:rsid w:val="00D56E82"/>
    <w:rsid w:val="00D6111F"/>
    <w:rsid w:val="00D61588"/>
    <w:rsid w:val="00D620F2"/>
    <w:rsid w:val="00D62B98"/>
    <w:rsid w:val="00D62CEE"/>
    <w:rsid w:val="00D6546D"/>
    <w:rsid w:val="00D65D0D"/>
    <w:rsid w:val="00D71294"/>
    <w:rsid w:val="00D721F7"/>
    <w:rsid w:val="00D727D8"/>
    <w:rsid w:val="00D72B4A"/>
    <w:rsid w:val="00D73B08"/>
    <w:rsid w:val="00D74CBB"/>
    <w:rsid w:val="00D7544C"/>
    <w:rsid w:val="00D75E7A"/>
    <w:rsid w:val="00D760D4"/>
    <w:rsid w:val="00D778B1"/>
    <w:rsid w:val="00D8104F"/>
    <w:rsid w:val="00D81EEC"/>
    <w:rsid w:val="00D829CE"/>
    <w:rsid w:val="00D82ECC"/>
    <w:rsid w:val="00D82F01"/>
    <w:rsid w:val="00D839DB"/>
    <w:rsid w:val="00D844CF"/>
    <w:rsid w:val="00D84703"/>
    <w:rsid w:val="00D91FE5"/>
    <w:rsid w:val="00D923C5"/>
    <w:rsid w:val="00D927C3"/>
    <w:rsid w:val="00D9288B"/>
    <w:rsid w:val="00D92FC4"/>
    <w:rsid w:val="00D935F5"/>
    <w:rsid w:val="00D96A88"/>
    <w:rsid w:val="00D96C52"/>
    <w:rsid w:val="00D9750E"/>
    <w:rsid w:val="00DA0534"/>
    <w:rsid w:val="00DA150E"/>
    <w:rsid w:val="00DA43A0"/>
    <w:rsid w:val="00DA45E9"/>
    <w:rsid w:val="00DA4C69"/>
    <w:rsid w:val="00DA517D"/>
    <w:rsid w:val="00DA560D"/>
    <w:rsid w:val="00DA6CCC"/>
    <w:rsid w:val="00DA7CAB"/>
    <w:rsid w:val="00DB0D1E"/>
    <w:rsid w:val="00DB0FF1"/>
    <w:rsid w:val="00DB2BC7"/>
    <w:rsid w:val="00DB312B"/>
    <w:rsid w:val="00DB337C"/>
    <w:rsid w:val="00DB6102"/>
    <w:rsid w:val="00DB6749"/>
    <w:rsid w:val="00DB6C00"/>
    <w:rsid w:val="00DB6D48"/>
    <w:rsid w:val="00DB7D9F"/>
    <w:rsid w:val="00DC12A4"/>
    <w:rsid w:val="00DC1EDB"/>
    <w:rsid w:val="00DC2579"/>
    <w:rsid w:val="00DC2914"/>
    <w:rsid w:val="00DC50C9"/>
    <w:rsid w:val="00DC5A14"/>
    <w:rsid w:val="00DC7815"/>
    <w:rsid w:val="00DD2DDB"/>
    <w:rsid w:val="00DD3781"/>
    <w:rsid w:val="00DD39DF"/>
    <w:rsid w:val="00DD478A"/>
    <w:rsid w:val="00DD493C"/>
    <w:rsid w:val="00DD4B67"/>
    <w:rsid w:val="00DD72E5"/>
    <w:rsid w:val="00DD7E64"/>
    <w:rsid w:val="00DE071D"/>
    <w:rsid w:val="00DE18A6"/>
    <w:rsid w:val="00DE1DDD"/>
    <w:rsid w:val="00DE330B"/>
    <w:rsid w:val="00DE3CFC"/>
    <w:rsid w:val="00DE4091"/>
    <w:rsid w:val="00DE59C3"/>
    <w:rsid w:val="00DE5CCF"/>
    <w:rsid w:val="00DE763A"/>
    <w:rsid w:val="00DE7B53"/>
    <w:rsid w:val="00DF1530"/>
    <w:rsid w:val="00DF2AE1"/>
    <w:rsid w:val="00DF2C5A"/>
    <w:rsid w:val="00DF2C69"/>
    <w:rsid w:val="00DF5352"/>
    <w:rsid w:val="00DF6A02"/>
    <w:rsid w:val="00DF7BB4"/>
    <w:rsid w:val="00DF7F33"/>
    <w:rsid w:val="00E000A5"/>
    <w:rsid w:val="00E01A29"/>
    <w:rsid w:val="00E01EFE"/>
    <w:rsid w:val="00E04BC9"/>
    <w:rsid w:val="00E05491"/>
    <w:rsid w:val="00E06598"/>
    <w:rsid w:val="00E1015E"/>
    <w:rsid w:val="00E11690"/>
    <w:rsid w:val="00E11D17"/>
    <w:rsid w:val="00E128C3"/>
    <w:rsid w:val="00E1368A"/>
    <w:rsid w:val="00E161D2"/>
    <w:rsid w:val="00E169F4"/>
    <w:rsid w:val="00E16F9E"/>
    <w:rsid w:val="00E20061"/>
    <w:rsid w:val="00E20213"/>
    <w:rsid w:val="00E21DFA"/>
    <w:rsid w:val="00E228B8"/>
    <w:rsid w:val="00E30389"/>
    <w:rsid w:val="00E32226"/>
    <w:rsid w:val="00E34636"/>
    <w:rsid w:val="00E37A3D"/>
    <w:rsid w:val="00E37E32"/>
    <w:rsid w:val="00E403EB"/>
    <w:rsid w:val="00E4388B"/>
    <w:rsid w:val="00E438B9"/>
    <w:rsid w:val="00E46200"/>
    <w:rsid w:val="00E4689E"/>
    <w:rsid w:val="00E50B0A"/>
    <w:rsid w:val="00E50C51"/>
    <w:rsid w:val="00E50D43"/>
    <w:rsid w:val="00E513F0"/>
    <w:rsid w:val="00E53B29"/>
    <w:rsid w:val="00E54BFE"/>
    <w:rsid w:val="00E5728C"/>
    <w:rsid w:val="00E60049"/>
    <w:rsid w:val="00E609A2"/>
    <w:rsid w:val="00E60AA3"/>
    <w:rsid w:val="00E61C9B"/>
    <w:rsid w:val="00E61D18"/>
    <w:rsid w:val="00E61EC7"/>
    <w:rsid w:val="00E62252"/>
    <w:rsid w:val="00E63390"/>
    <w:rsid w:val="00E634C2"/>
    <w:rsid w:val="00E63CF3"/>
    <w:rsid w:val="00E642C8"/>
    <w:rsid w:val="00E64A75"/>
    <w:rsid w:val="00E65291"/>
    <w:rsid w:val="00E65408"/>
    <w:rsid w:val="00E66615"/>
    <w:rsid w:val="00E67E9F"/>
    <w:rsid w:val="00E70C54"/>
    <w:rsid w:val="00E70EA2"/>
    <w:rsid w:val="00E715FF"/>
    <w:rsid w:val="00E71D49"/>
    <w:rsid w:val="00E72CEC"/>
    <w:rsid w:val="00E73548"/>
    <w:rsid w:val="00E75157"/>
    <w:rsid w:val="00E75C6A"/>
    <w:rsid w:val="00E76EC2"/>
    <w:rsid w:val="00E8015D"/>
    <w:rsid w:val="00E81496"/>
    <w:rsid w:val="00E82615"/>
    <w:rsid w:val="00E82AC9"/>
    <w:rsid w:val="00E83F65"/>
    <w:rsid w:val="00E846FA"/>
    <w:rsid w:val="00E84BC7"/>
    <w:rsid w:val="00E84DB8"/>
    <w:rsid w:val="00E85BEA"/>
    <w:rsid w:val="00E8697F"/>
    <w:rsid w:val="00E8758C"/>
    <w:rsid w:val="00E90D5D"/>
    <w:rsid w:val="00E91E2D"/>
    <w:rsid w:val="00E92B9A"/>
    <w:rsid w:val="00E94518"/>
    <w:rsid w:val="00E951E4"/>
    <w:rsid w:val="00EA096D"/>
    <w:rsid w:val="00EA1279"/>
    <w:rsid w:val="00EA1457"/>
    <w:rsid w:val="00EA21A8"/>
    <w:rsid w:val="00EA30A6"/>
    <w:rsid w:val="00EA3727"/>
    <w:rsid w:val="00EA4E24"/>
    <w:rsid w:val="00EA67BB"/>
    <w:rsid w:val="00EA69B6"/>
    <w:rsid w:val="00EA6B47"/>
    <w:rsid w:val="00EB1D35"/>
    <w:rsid w:val="00EB32AF"/>
    <w:rsid w:val="00EB48A8"/>
    <w:rsid w:val="00EB5ABB"/>
    <w:rsid w:val="00EB5E79"/>
    <w:rsid w:val="00EC0709"/>
    <w:rsid w:val="00EC261F"/>
    <w:rsid w:val="00EC2AD1"/>
    <w:rsid w:val="00EC30CC"/>
    <w:rsid w:val="00EC4604"/>
    <w:rsid w:val="00EC6737"/>
    <w:rsid w:val="00EC7E71"/>
    <w:rsid w:val="00ED0E9F"/>
    <w:rsid w:val="00ED1E9B"/>
    <w:rsid w:val="00ED21E7"/>
    <w:rsid w:val="00ED3481"/>
    <w:rsid w:val="00ED4438"/>
    <w:rsid w:val="00ED44E7"/>
    <w:rsid w:val="00ED5080"/>
    <w:rsid w:val="00ED646E"/>
    <w:rsid w:val="00ED6899"/>
    <w:rsid w:val="00ED6A18"/>
    <w:rsid w:val="00ED741E"/>
    <w:rsid w:val="00ED7BB8"/>
    <w:rsid w:val="00EE00D2"/>
    <w:rsid w:val="00EE0AB3"/>
    <w:rsid w:val="00EE0E1C"/>
    <w:rsid w:val="00EE1AC4"/>
    <w:rsid w:val="00EE1D38"/>
    <w:rsid w:val="00EE1FC2"/>
    <w:rsid w:val="00EE2311"/>
    <w:rsid w:val="00EE27EF"/>
    <w:rsid w:val="00EE33D7"/>
    <w:rsid w:val="00EE3ACF"/>
    <w:rsid w:val="00EE5ED5"/>
    <w:rsid w:val="00EE6947"/>
    <w:rsid w:val="00EE775F"/>
    <w:rsid w:val="00EF243B"/>
    <w:rsid w:val="00EF2AC9"/>
    <w:rsid w:val="00EF2B68"/>
    <w:rsid w:val="00EF395A"/>
    <w:rsid w:val="00EF422C"/>
    <w:rsid w:val="00EF4338"/>
    <w:rsid w:val="00EF6038"/>
    <w:rsid w:val="00F00E47"/>
    <w:rsid w:val="00F02C09"/>
    <w:rsid w:val="00F05DF1"/>
    <w:rsid w:val="00F07504"/>
    <w:rsid w:val="00F07567"/>
    <w:rsid w:val="00F10354"/>
    <w:rsid w:val="00F12EDB"/>
    <w:rsid w:val="00F156A8"/>
    <w:rsid w:val="00F15DC1"/>
    <w:rsid w:val="00F162E5"/>
    <w:rsid w:val="00F16D7B"/>
    <w:rsid w:val="00F215D2"/>
    <w:rsid w:val="00F223FB"/>
    <w:rsid w:val="00F2262D"/>
    <w:rsid w:val="00F27207"/>
    <w:rsid w:val="00F3188B"/>
    <w:rsid w:val="00F32638"/>
    <w:rsid w:val="00F33F2C"/>
    <w:rsid w:val="00F34054"/>
    <w:rsid w:val="00F346A3"/>
    <w:rsid w:val="00F3512A"/>
    <w:rsid w:val="00F35D3A"/>
    <w:rsid w:val="00F36448"/>
    <w:rsid w:val="00F364DD"/>
    <w:rsid w:val="00F40816"/>
    <w:rsid w:val="00F40B5B"/>
    <w:rsid w:val="00F417CB"/>
    <w:rsid w:val="00F427FC"/>
    <w:rsid w:val="00F42B59"/>
    <w:rsid w:val="00F42DD0"/>
    <w:rsid w:val="00F446E6"/>
    <w:rsid w:val="00F447B5"/>
    <w:rsid w:val="00F449FC"/>
    <w:rsid w:val="00F44D3B"/>
    <w:rsid w:val="00F473A3"/>
    <w:rsid w:val="00F47C97"/>
    <w:rsid w:val="00F50D73"/>
    <w:rsid w:val="00F511FC"/>
    <w:rsid w:val="00F513DD"/>
    <w:rsid w:val="00F53566"/>
    <w:rsid w:val="00F54532"/>
    <w:rsid w:val="00F5458A"/>
    <w:rsid w:val="00F54B0F"/>
    <w:rsid w:val="00F54CE3"/>
    <w:rsid w:val="00F55EBB"/>
    <w:rsid w:val="00F56177"/>
    <w:rsid w:val="00F57114"/>
    <w:rsid w:val="00F625A4"/>
    <w:rsid w:val="00F625B9"/>
    <w:rsid w:val="00F63C70"/>
    <w:rsid w:val="00F657C9"/>
    <w:rsid w:val="00F702DD"/>
    <w:rsid w:val="00F72026"/>
    <w:rsid w:val="00F74317"/>
    <w:rsid w:val="00F767DF"/>
    <w:rsid w:val="00F76C94"/>
    <w:rsid w:val="00F77426"/>
    <w:rsid w:val="00F82218"/>
    <w:rsid w:val="00F84219"/>
    <w:rsid w:val="00F8506F"/>
    <w:rsid w:val="00F866A8"/>
    <w:rsid w:val="00F86C8A"/>
    <w:rsid w:val="00F904CB"/>
    <w:rsid w:val="00F91647"/>
    <w:rsid w:val="00F91893"/>
    <w:rsid w:val="00F93169"/>
    <w:rsid w:val="00F933D9"/>
    <w:rsid w:val="00F959F8"/>
    <w:rsid w:val="00F96030"/>
    <w:rsid w:val="00FA0183"/>
    <w:rsid w:val="00FA14C0"/>
    <w:rsid w:val="00FA1F0E"/>
    <w:rsid w:val="00FA461C"/>
    <w:rsid w:val="00FA5F16"/>
    <w:rsid w:val="00FA6380"/>
    <w:rsid w:val="00FB32C2"/>
    <w:rsid w:val="00FB4D6E"/>
    <w:rsid w:val="00FB5B3F"/>
    <w:rsid w:val="00FB7358"/>
    <w:rsid w:val="00FB7CA3"/>
    <w:rsid w:val="00FC22A6"/>
    <w:rsid w:val="00FC3C97"/>
    <w:rsid w:val="00FC55EB"/>
    <w:rsid w:val="00FC6C45"/>
    <w:rsid w:val="00FC7955"/>
    <w:rsid w:val="00FD09CF"/>
    <w:rsid w:val="00FD1D94"/>
    <w:rsid w:val="00FD23B4"/>
    <w:rsid w:val="00FD2681"/>
    <w:rsid w:val="00FD50CA"/>
    <w:rsid w:val="00FD6A18"/>
    <w:rsid w:val="00FD7351"/>
    <w:rsid w:val="00FE005E"/>
    <w:rsid w:val="00FE1755"/>
    <w:rsid w:val="00FE1B91"/>
    <w:rsid w:val="00FE6B12"/>
    <w:rsid w:val="00FE780D"/>
    <w:rsid w:val="00FE7D09"/>
    <w:rsid w:val="00FF04A1"/>
    <w:rsid w:val="00FF30F9"/>
    <w:rsid w:val="00FF424C"/>
    <w:rsid w:val="00FF4DE0"/>
    <w:rsid w:val="00FF5C64"/>
    <w:rsid w:val="00FF64F2"/>
    <w:rsid w:val="00FF64F3"/>
    <w:rsid w:val="00FF748B"/>
    <w:rsid w:val="00FF7AF1"/>
    <w:rsid w:val="01071F82"/>
    <w:rsid w:val="019D4F21"/>
    <w:rsid w:val="024C374B"/>
    <w:rsid w:val="02854C96"/>
    <w:rsid w:val="03763C76"/>
    <w:rsid w:val="041804AA"/>
    <w:rsid w:val="042E318E"/>
    <w:rsid w:val="04576FF1"/>
    <w:rsid w:val="04D7753D"/>
    <w:rsid w:val="05345DFF"/>
    <w:rsid w:val="062E0C1F"/>
    <w:rsid w:val="06DE36F2"/>
    <w:rsid w:val="07CA19EC"/>
    <w:rsid w:val="081B685A"/>
    <w:rsid w:val="083F47CD"/>
    <w:rsid w:val="08833EF1"/>
    <w:rsid w:val="08A52A32"/>
    <w:rsid w:val="08A92E36"/>
    <w:rsid w:val="090E7CFA"/>
    <w:rsid w:val="0B510099"/>
    <w:rsid w:val="0B8F3D17"/>
    <w:rsid w:val="0B942FA2"/>
    <w:rsid w:val="0D2A3ABE"/>
    <w:rsid w:val="0D3D7823"/>
    <w:rsid w:val="0D512441"/>
    <w:rsid w:val="0D726BAC"/>
    <w:rsid w:val="0DF84801"/>
    <w:rsid w:val="0E5B00CC"/>
    <w:rsid w:val="0E975B0B"/>
    <w:rsid w:val="0F1B0308"/>
    <w:rsid w:val="101A7E0C"/>
    <w:rsid w:val="101E4577"/>
    <w:rsid w:val="10917742"/>
    <w:rsid w:val="11A3146F"/>
    <w:rsid w:val="11B80172"/>
    <w:rsid w:val="121854F9"/>
    <w:rsid w:val="127F6A3E"/>
    <w:rsid w:val="129A7A1A"/>
    <w:rsid w:val="131C1819"/>
    <w:rsid w:val="1394267C"/>
    <w:rsid w:val="14805C5D"/>
    <w:rsid w:val="14E66A62"/>
    <w:rsid w:val="15B73DE2"/>
    <w:rsid w:val="167E54EC"/>
    <w:rsid w:val="179C489E"/>
    <w:rsid w:val="18157622"/>
    <w:rsid w:val="18604963"/>
    <w:rsid w:val="1870366D"/>
    <w:rsid w:val="190838E1"/>
    <w:rsid w:val="19B02585"/>
    <w:rsid w:val="1ACD4087"/>
    <w:rsid w:val="1B1A0D4C"/>
    <w:rsid w:val="1B875697"/>
    <w:rsid w:val="1BA41277"/>
    <w:rsid w:val="1C7F1D06"/>
    <w:rsid w:val="1CC264B4"/>
    <w:rsid w:val="1D2F201E"/>
    <w:rsid w:val="1DE611A6"/>
    <w:rsid w:val="1EA65999"/>
    <w:rsid w:val="1F4955F7"/>
    <w:rsid w:val="1F911CC6"/>
    <w:rsid w:val="204465B1"/>
    <w:rsid w:val="20AC1587"/>
    <w:rsid w:val="216A20D3"/>
    <w:rsid w:val="21D7604A"/>
    <w:rsid w:val="220E77FE"/>
    <w:rsid w:val="224E4186"/>
    <w:rsid w:val="225E0015"/>
    <w:rsid w:val="22845151"/>
    <w:rsid w:val="22BE3191"/>
    <w:rsid w:val="231C2570"/>
    <w:rsid w:val="23EB6B0B"/>
    <w:rsid w:val="24612862"/>
    <w:rsid w:val="25190A4F"/>
    <w:rsid w:val="254D6221"/>
    <w:rsid w:val="25CA3120"/>
    <w:rsid w:val="25D36B65"/>
    <w:rsid w:val="265B5EA9"/>
    <w:rsid w:val="26BA132F"/>
    <w:rsid w:val="26BC219F"/>
    <w:rsid w:val="26BF3E66"/>
    <w:rsid w:val="27454276"/>
    <w:rsid w:val="2763513C"/>
    <w:rsid w:val="27894457"/>
    <w:rsid w:val="27E62D17"/>
    <w:rsid w:val="28024457"/>
    <w:rsid w:val="28212461"/>
    <w:rsid w:val="28D540D6"/>
    <w:rsid w:val="2A2B59AA"/>
    <w:rsid w:val="2A6334E5"/>
    <w:rsid w:val="2C686A3A"/>
    <w:rsid w:val="2C8013FC"/>
    <w:rsid w:val="2DF5177C"/>
    <w:rsid w:val="2FC40619"/>
    <w:rsid w:val="3014145B"/>
    <w:rsid w:val="3023043B"/>
    <w:rsid w:val="303E677D"/>
    <w:rsid w:val="306476E3"/>
    <w:rsid w:val="30786A86"/>
    <w:rsid w:val="309B08A2"/>
    <w:rsid w:val="30BC6B6C"/>
    <w:rsid w:val="310610B2"/>
    <w:rsid w:val="315F62DB"/>
    <w:rsid w:val="31EF5737"/>
    <w:rsid w:val="331162E3"/>
    <w:rsid w:val="33737318"/>
    <w:rsid w:val="33F41B08"/>
    <w:rsid w:val="34503B1C"/>
    <w:rsid w:val="349A59D6"/>
    <w:rsid w:val="35576037"/>
    <w:rsid w:val="35D75AFB"/>
    <w:rsid w:val="365E6F73"/>
    <w:rsid w:val="36865A8E"/>
    <w:rsid w:val="369F4670"/>
    <w:rsid w:val="36B632C9"/>
    <w:rsid w:val="36F63224"/>
    <w:rsid w:val="36FA5A66"/>
    <w:rsid w:val="371C4AB2"/>
    <w:rsid w:val="38605D40"/>
    <w:rsid w:val="38EE364D"/>
    <w:rsid w:val="391A3E04"/>
    <w:rsid w:val="399B643A"/>
    <w:rsid w:val="39E901F1"/>
    <w:rsid w:val="3A3B5C42"/>
    <w:rsid w:val="3AAF47E9"/>
    <w:rsid w:val="3B0B1244"/>
    <w:rsid w:val="3B2B31AA"/>
    <w:rsid w:val="3B3111CB"/>
    <w:rsid w:val="3BCA15C4"/>
    <w:rsid w:val="3CFE3B29"/>
    <w:rsid w:val="3D2A07F5"/>
    <w:rsid w:val="3D4921A2"/>
    <w:rsid w:val="3D784283"/>
    <w:rsid w:val="3D7E04FB"/>
    <w:rsid w:val="3EEB0DD6"/>
    <w:rsid w:val="40775542"/>
    <w:rsid w:val="40917440"/>
    <w:rsid w:val="40D818BA"/>
    <w:rsid w:val="40DC2439"/>
    <w:rsid w:val="41222A55"/>
    <w:rsid w:val="414C0A0D"/>
    <w:rsid w:val="42002201"/>
    <w:rsid w:val="43111908"/>
    <w:rsid w:val="43121592"/>
    <w:rsid w:val="43610408"/>
    <w:rsid w:val="437A4E48"/>
    <w:rsid w:val="43EF0FD9"/>
    <w:rsid w:val="44DD5ECD"/>
    <w:rsid w:val="451A02A1"/>
    <w:rsid w:val="45617941"/>
    <w:rsid w:val="45AC05C0"/>
    <w:rsid w:val="45CD1852"/>
    <w:rsid w:val="45EB15FA"/>
    <w:rsid w:val="46B20F16"/>
    <w:rsid w:val="47D63028"/>
    <w:rsid w:val="48045FCD"/>
    <w:rsid w:val="495771BA"/>
    <w:rsid w:val="49781624"/>
    <w:rsid w:val="49F60EBF"/>
    <w:rsid w:val="4A17577A"/>
    <w:rsid w:val="4A8E570F"/>
    <w:rsid w:val="4A943159"/>
    <w:rsid w:val="4AD979B2"/>
    <w:rsid w:val="4AE72751"/>
    <w:rsid w:val="4B2C0E2B"/>
    <w:rsid w:val="4B481AD2"/>
    <w:rsid w:val="4B980EDF"/>
    <w:rsid w:val="4BAE00A0"/>
    <w:rsid w:val="4BFB6628"/>
    <w:rsid w:val="4BFD32AD"/>
    <w:rsid w:val="4C163F88"/>
    <w:rsid w:val="4C257FA8"/>
    <w:rsid w:val="4C614B59"/>
    <w:rsid w:val="4CC62C4B"/>
    <w:rsid w:val="4D7A6255"/>
    <w:rsid w:val="4D8D5913"/>
    <w:rsid w:val="4E0C5D4D"/>
    <w:rsid w:val="4E0E7D13"/>
    <w:rsid w:val="4E4D7F79"/>
    <w:rsid w:val="4EB55E08"/>
    <w:rsid w:val="501B0243"/>
    <w:rsid w:val="50550845"/>
    <w:rsid w:val="50E52C79"/>
    <w:rsid w:val="50EF458D"/>
    <w:rsid w:val="51CE1A2B"/>
    <w:rsid w:val="51CE4828"/>
    <w:rsid w:val="51D03E40"/>
    <w:rsid w:val="51EA7F8B"/>
    <w:rsid w:val="52AE0DA8"/>
    <w:rsid w:val="53671E5B"/>
    <w:rsid w:val="539C67D6"/>
    <w:rsid w:val="53A23727"/>
    <w:rsid w:val="53E20C28"/>
    <w:rsid w:val="53E5226A"/>
    <w:rsid w:val="54B21B2F"/>
    <w:rsid w:val="55657999"/>
    <w:rsid w:val="556C0B41"/>
    <w:rsid w:val="56E77027"/>
    <w:rsid w:val="57BA609E"/>
    <w:rsid w:val="586B7778"/>
    <w:rsid w:val="596A2F20"/>
    <w:rsid w:val="599E00A5"/>
    <w:rsid w:val="5B523F55"/>
    <w:rsid w:val="5BDF31A7"/>
    <w:rsid w:val="5BF90845"/>
    <w:rsid w:val="5C365375"/>
    <w:rsid w:val="5C554813"/>
    <w:rsid w:val="5C5B5E52"/>
    <w:rsid w:val="5CA06CCF"/>
    <w:rsid w:val="5CEA171B"/>
    <w:rsid w:val="5D9A101C"/>
    <w:rsid w:val="5DA418E2"/>
    <w:rsid w:val="5E4872DB"/>
    <w:rsid w:val="5E7F0624"/>
    <w:rsid w:val="5F047277"/>
    <w:rsid w:val="5F554354"/>
    <w:rsid w:val="5F597B68"/>
    <w:rsid w:val="601F7C49"/>
    <w:rsid w:val="60AA34F6"/>
    <w:rsid w:val="612516ED"/>
    <w:rsid w:val="61671FE2"/>
    <w:rsid w:val="62257C81"/>
    <w:rsid w:val="62412815"/>
    <w:rsid w:val="635766E2"/>
    <w:rsid w:val="637E648D"/>
    <w:rsid w:val="6392191E"/>
    <w:rsid w:val="64500118"/>
    <w:rsid w:val="64B902C6"/>
    <w:rsid w:val="64C378A2"/>
    <w:rsid w:val="658229DC"/>
    <w:rsid w:val="68B31A12"/>
    <w:rsid w:val="68F17629"/>
    <w:rsid w:val="69781A97"/>
    <w:rsid w:val="69994718"/>
    <w:rsid w:val="69DC6641"/>
    <w:rsid w:val="6A3D3250"/>
    <w:rsid w:val="6A954732"/>
    <w:rsid w:val="6ADA606D"/>
    <w:rsid w:val="6B4D0219"/>
    <w:rsid w:val="6BE77875"/>
    <w:rsid w:val="6DD60D51"/>
    <w:rsid w:val="6E042889"/>
    <w:rsid w:val="6E12412C"/>
    <w:rsid w:val="6F0727EF"/>
    <w:rsid w:val="6F37111A"/>
    <w:rsid w:val="7006332D"/>
    <w:rsid w:val="71336501"/>
    <w:rsid w:val="71403273"/>
    <w:rsid w:val="71841C57"/>
    <w:rsid w:val="71A840A7"/>
    <w:rsid w:val="7267570E"/>
    <w:rsid w:val="72ED382D"/>
    <w:rsid w:val="74BC40E2"/>
    <w:rsid w:val="74D034B4"/>
    <w:rsid w:val="75842526"/>
    <w:rsid w:val="764A05FE"/>
    <w:rsid w:val="76561895"/>
    <w:rsid w:val="76797326"/>
    <w:rsid w:val="76FA5BF2"/>
    <w:rsid w:val="7852709F"/>
    <w:rsid w:val="785C113E"/>
    <w:rsid w:val="78B9143C"/>
    <w:rsid w:val="78C40E61"/>
    <w:rsid w:val="78C57636"/>
    <w:rsid w:val="79654980"/>
    <w:rsid w:val="79A720B0"/>
    <w:rsid w:val="79BB32D7"/>
    <w:rsid w:val="7A58143E"/>
    <w:rsid w:val="7A62345B"/>
    <w:rsid w:val="7A876990"/>
    <w:rsid w:val="7B1D696A"/>
    <w:rsid w:val="7B3423CC"/>
    <w:rsid w:val="7BC146F3"/>
    <w:rsid w:val="7BC85DA8"/>
    <w:rsid w:val="7BE561F6"/>
    <w:rsid w:val="7C29592D"/>
    <w:rsid w:val="7C492092"/>
    <w:rsid w:val="7C51478C"/>
    <w:rsid w:val="7CE0109D"/>
    <w:rsid w:val="7CFD362B"/>
    <w:rsid w:val="7D5012E6"/>
    <w:rsid w:val="7D934717"/>
    <w:rsid w:val="7E3C6F29"/>
    <w:rsid w:val="7EB60941"/>
    <w:rsid w:val="7EE03426"/>
    <w:rsid w:val="7F3E563C"/>
    <w:rsid w:val="7FF53A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49"/>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5"/>
    <w:link w:val="50"/>
    <w:qFormat/>
    <w:uiPriority w:val="99"/>
    <w:pPr>
      <w:keepNext/>
      <w:keepLines/>
      <w:autoSpaceDE w:val="0"/>
      <w:autoSpaceDN w:val="0"/>
      <w:adjustRightInd w:val="0"/>
      <w:spacing w:before="120" w:after="120" w:line="416" w:lineRule="atLeast"/>
      <w:outlineLvl w:val="2"/>
    </w:pPr>
    <w:rPr>
      <w:rFonts w:ascii="黑体" w:eastAsia="黑体"/>
      <w:kern w:val="0"/>
      <w:sz w:val="20"/>
      <w:szCs w:val="20"/>
    </w:rPr>
  </w:style>
  <w:style w:type="paragraph" w:styleId="6">
    <w:name w:val="heading 4"/>
    <w:basedOn w:val="1"/>
    <w:next w:val="1"/>
    <w:link w:val="52"/>
    <w:qFormat/>
    <w:uiPriority w:val="99"/>
    <w:pPr>
      <w:keepNext/>
      <w:outlineLvl w:val="3"/>
    </w:pPr>
    <w:rPr>
      <w:kern w:val="0"/>
      <w:sz w:val="20"/>
      <w:szCs w:val="20"/>
    </w:rPr>
  </w:style>
  <w:style w:type="paragraph" w:styleId="7">
    <w:name w:val="heading 5"/>
    <w:basedOn w:val="1"/>
    <w:next w:val="1"/>
    <w:link w:val="53"/>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54"/>
    <w:qFormat/>
    <w:uiPriority w:val="99"/>
    <w:pPr>
      <w:keepNext/>
      <w:keepLines/>
      <w:spacing w:before="240" w:after="64" w:line="320" w:lineRule="auto"/>
      <w:outlineLvl w:val="5"/>
    </w:pPr>
    <w:rPr>
      <w:rFonts w:ascii="Arial" w:hAnsi="Arial" w:eastAsia="黑体"/>
      <w:b/>
      <w:bCs/>
      <w:kern w:val="0"/>
      <w:sz w:val="24"/>
    </w:rPr>
  </w:style>
  <w:style w:type="paragraph" w:styleId="9">
    <w:name w:val="heading 7"/>
    <w:basedOn w:val="1"/>
    <w:next w:val="1"/>
    <w:link w:val="55"/>
    <w:qFormat/>
    <w:uiPriority w:val="99"/>
    <w:pPr>
      <w:keepNext/>
      <w:keepLines/>
      <w:spacing w:before="240" w:after="64" w:line="320" w:lineRule="auto"/>
      <w:outlineLvl w:val="6"/>
    </w:pPr>
    <w:rPr>
      <w:b/>
      <w:bCs/>
      <w:kern w:val="0"/>
      <w:sz w:val="24"/>
    </w:rPr>
  </w:style>
  <w:style w:type="paragraph" w:styleId="10">
    <w:name w:val="heading 8"/>
    <w:basedOn w:val="1"/>
    <w:next w:val="1"/>
    <w:link w:val="56"/>
    <w:qFormat/>
    <w:uiPriority w:val="99"/>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7"/>
    <w:qFormat/>
    <w:uiPriority w:val="99"/>
    <w:pPr>
      <w:keepNext/>
      <w:keepLines/>
      <w:spacing w:before="240" w:after="64" w:line="320" w:lineRule="auto"/>
      <w:outlineLvl w:val="8"/>
    </w:pPr>
    <w:rPr>
      <w:rFonts w:ascii="Arial" w:hAnsi="Arial" w:eastAsia="黑体"/>
      <w:kern w:val="0"/>
      <w:szCs w:val="21"/>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5">
    <w:name w:val="Normal Indent"/>
    <w:basedOn w:val="1"/>
    <w:link w:val="5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List 3"/>
    <w:basedOn w:val="1"/>
    <w:semiHidden/>
    <w:qFormat/>
    <w:locked/>
    <w:uiPriority w:val="99"/>
    <w:pPr>
      <w:ind w:left="100" w:leftChars="400" w:hanging="200" w:hangingChars="200"/>
      <w:contextualSpacing/>
    </w:pPr>
  </w:style>
  <w:style w:type="paragraph" w:styleId="13">
    <w:name w:val="toc 7"/>
    <w:basedOn w:val="1"/>
    <w:next w:val="1"/>
    <w:qFormat/>
    <w:uiPriority w:val="99"/>
    <w:pPr>
      <w:ind w:left="2520" w:leftChars="1200"/>
    </w:pPr>
    <w:rPr>
      <w:rFonts w:ascii="Calibri" w:hAnsi="Calibri"/>
      <w:szCs w:val="22"/>
    </w:rPr>
  </w:style>
  <w:style w:type="paragraph" w:styleId="14">
    <w:name w:val="Document Map"/>
    <w:basedOn w:val="1"/>
    <w:link w:val="58"/>
    <w:semiHidden/>
    <w:qFormat/>
    <w:uiPriority w:val="99"/>
    <w:rPr>
      <w:rFonts w:ascii="宋体"/>
      <w:kern w:val="0"/>
      <w:sz w:val="18"/>
      <w:szCs w:val="18"/>
    </w:rPr>
  </w:style>
  <w:style w:type="paragraph" w:styleId="15">
    <w:name w:val="annotation text"/>
    <w:basedOn w:val="1"/>
    <w:link w:val="59"/>
    <w:qFormat/>
    <w:uiPriority w:val="99"/>
    <w:pPr>
      <w:jc w:val="left"/>
    </w:pPr>
    <w:rPr>
      <w:kern w:val="0"/>
      <w:sz w:val="24"/>
    </w:rPr>
  </w:style>
  <w:style w:type="paragraph" w:styleId="16">
    <w:name w:val="Body Text"/>
    <w:basedOn w:val="1"/>
    <w:link w:val="60"/>
    <w:qFormat/>
    <w:uiPriority w:val="99"/>
    <w:rPr>
      <w:kern w:val="0"/>
      <w:sz w:val="20"/>
      <w:szCs w:val="20"/>
    </w:rPr>
  </w:style>
  <w:style w:type="paragraph" w:styleId="17">
    <w:name w:val="Body Text Indent"/>
    <w:basedOn w:val="1"/>
    <w:link w:val="61"/>
    <w:qFormat/>
    <w:uiPriority w:val="99"/>
    <w:pPr>
      <w:autoSpaceDE w:val="0"/>
      <w:autoSpaceDN w:val="0"/>
      <w:adjustRightInd w:val="0"/>
      <w:spacing w:after="120" w:line="360" w:lineRule="atLeast"/>
      <w:ind w:left="900"/>
    </w:pPr>
    <w:rPr>
      <w:rFonts w:ascii="楷体_GB2312" w:eastAsia="楷体_GB2312"/>
      <w:kern w:val="0"/>
      <w:sz w:val="20"/>
      <w:szCs w:val="20"/>
    </w:rPr>
  </w:style>
  <w:style w:type="paragraph" w:styleId="18">
    <w:name w:val="List 2"/>
    <w:basedOn w:val="1"/>
    <w:qFormat/>
    <w:uiPriority w:val="99"/>
    <w:pPr>
      <w:ind w:left="100" w:leftChars="200" w:hanging="200" w:hangingChars="200"/>
    </w:pPr>
  </w:style>
  <w:style w:type="paragraph" w:styleId="19">
    <w:name w:val="toc 5"/>
    <w:basedOn w:val="1"/>
    <w:next w:val="1"/>
    <w:qFormat/>
    <w:uiPriority w:val="99"/>
    <w:pPr>
      <w:ind w:left="1680" w:leftChars="800"/>
    </w:pPr>
    <w:rPr>
      <w:rFonts w:ascii="Calibri" w:hAnsi="Calibri"/>
      <w:szCs w:val="22"/>
    </w:rPr>
  </w:style>
  <w:style w:type="paragraph" w:styleId="20">
    <w:name w:val="toc 3"/>
    <w:basedOn w:val="1"/>
    <w:next w:val="1"/>
    <w:qFormat/>
    <w:uiPriority w:val="99"/>
    <w:pPr>
      <w:widowControl/>
      <w:snapToGrid w:val="0"/>
      <w:spacing w:line="440" w:lineRule="exact"/>
      <w:ind w:left="442"/>
      <w:jc w:val="left"/>
    </w:pPr>
    <w:rPr>
      <w:rFonts w:ascii="Calibri" w:hAnsi="Calibri"/>
      <w:kern w:val="0"/>
      <w:szCs w:val="22"/>
    </w:rPr>
  </w:style>
  <w:style w:type="paragraph" w:styleId="21">
    <w:name w:val="Plain Text"/>
    <w:basedOn w:val="1"/>
    <w:link w:val="62"/>
    <w:qFormat/>
    <w:uiPriority w:val="99"/>
    <w:rPr>
      <w:rFonts w:ascii="宋体" w:hAnsi="Courier New"/>
      <w:kern w:val="0"/>
      <w:sz w:val="20"/>
      <w:szCs w:val="20"/>
    </w:rPr>
  </w:style>
  <w:style w:type="paragraph" w:styleId="22">
    <w:name w:val="toc 8"/>
    <w:basedOn w:val="1"/>
    <w:next w:val="1"/>
    <w:qFormat/>
    <w:uiPriority w:val="99"/>
    <w:pPr>
      <w:ind w:left="2940" w:leftChars="1400"/>
    </w:pPr>
    <w:rPr>
      <w:rFonts w:ascii="Calibri" w:hAnsi="Calibri"/>
      <w:szCs w:val="22"/>
    </w:rPr>
  </w:style>
  <w:style w:type="paragraph" w:styleId="23">
    <w:name w:val="Date"/>
    <w:basedOn w:val="1"/>
    <w:next w:val="1"/>
    <w:link w:val="63"/>
    <w:qFormat/>
    <w:uiPriority w:val="99"/>
    <w:pPr>
      <w:ind w:left="100" w:leftChars="2500"/>
    </w:pPr>
    <w:rPr>
      <w:kern w:val="0"/>
      <w:sz w:val="20"/>
      <w:szCs w:val="20"/>
    </w:rPr>
  </w:style>
  <w:style w:type="paragraph" w:styleId="24">
    <w:name w:val="Body Text Indent 2"/>
    <w:basedOn w:val="1"/>
    <w:link w:val="64"/>
    <w:qFormat/>
    <w:uiPriority w:val="99"/>
    <w:pPr>
      <w:spacing w:line="480" w:lineRule="auto"/>
      <w:ind w:firstLine="480" w:firstLineChars="200"/>
    </w:pPr>
    <w:rPr>
      <w:rFonts w:ascii="仿宋_GB2312" w:hAnsi="宋体" w:eastAsia="仿宋_GB2312"/>
      <w:kern w:val="0"/>
      <w:sz w:val="24"/>
    </w:rPr>
  </w:style>
  <w:style w:type="paragraph" w:styleId="25">
    <w:name w:val="Balloon Text"/>
    <w:basedOn w:val="1"/>
    <w:link w:val="65"/>
    <w:semiHidden/>
    <w:qFormat/>
    <w:uiPriority w:val="99"/>
    <w:rPr>
      <w:kern w:val="0"/>
      <w:sz w:val="18"/>
      <w:szCs w:val="18"/>
    </w:rPr>
  </w:style>
  <w:style w:type="paragraph" w:styleId="26">
    <w:name w:val="footer"/>
    <w:basedOn w:val="1"/>
    <w:link w:val="66"/>
    <w:qFormat/>
    <w:uiPriority w:val="99"/>
    <w:pPr>
      <w:tabs>
        <w:tab w:val="center" w:pos="4153"/>
        <w:tab w:val="right" w:pos="8306"/>
      </w:tabs>
      <w:snapToGrid w:val="0"/>
      <w:jc w:val="left"/>
    </w:pPr>
    <w:rPr>
      <w:kern w:val="0"/>
      <w:sz w:val="18"/>
      <w:szCs w:val="18"/>
    </w:rPr>
  </w:style>
  <w:style w:type="paragraph" w:styleId="27">
    <w:name w:val="header"/>
    <w:basedOn w:val="1"/>
    <w:link w:val="67"/>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qFormat/>
    <w:uiPriority w:val="99"/>
    <w:pPr>
      <w:ind w:left="1260" w:leftChars="600"/>
    </w:pPr>
    <w:rPr>
      <w:rFonts w:ascii="Calibri" w:hAnsi="Calibri"/>
      <w:szCs w:val="22"/>
    </w:rPr>
  </w:style>
  <w:style w:type="paragraph" w:styleId="30">
    <w:name w:val="Subtitle"/>
    <w:basedOn w:val="1"/>
    <w:next w:val="1"/>
    <w:link w:val="68"/>
    <w:qFormat/>
    <w:uiPriority w:val="99"/>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99"/>
    <w:pPr>
      <w:ind w:left="2100" w:leftChars="1000"/>
    </w:pPr>
    <w:rPr>
      <w:rFonts w:ascii="Calibri" w:hAnsi="Calibri"/>
      <w:szCs w:val="22"/>
    </w:rPr>
  </w:style>
  <w:style w:type="paragraph" w:styleId="32">
    <w:name w:val="Body Text Indent 3"/>
    <w:basedOn w:val="1"/>
    <w:link w:val="69"/>
    <w:qFormat/>
    <w:uiPriority w:val="99"/>
    <w:pPr>
      <w:spacing w:after="120" w:line="360" w:lineRule="atLeast"/>
      <w:ind w:firstLine="720" w:firstLineChars="300"/>
    </w:pPr>
    <w:rPr>
      <w:kern w:val="0"/>
      <w:sz w:val="20"/>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qFormat/>
    <w:uiPriority w:val="99"/>
    <w:pPr>
      <w:ind w:left="3360" w:leftChars="1600"/>
    </w:pPr>
    <w:rPr>
      <w:rFonts w:ascii="Calibri" w:hAnsi="Calibri"/>
      <w:szCs w:val="22"/>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70"/>
    <w:qFormat/>
    <w:uiPriority w:val="99"/>
    <w:pPr>
      <w:spacing w:before="240" w:after="60"/>
      <w:jc w:val="center"/>
      <w:outlineLvl w:val="0"/>
    </w:pPr>
    <w:rPr>
      <w:rFonts w:ascii="Cambria" w:hAnsi="Cambria"/>
      <w:b/>
      <w:bCs/>
      <w:kern w:val="0"/>
      <w:sz w:val="32"/>
      <w:szCs w:val="32"/>
    </w:rPr>
  </w:style>
  <w:style w:type="paragraph" w:styleId="37">
    <w:name w:val="annotation subject"/>
    <w:basedOn w:val="15"/>
    <w:next w:val="15"/>
    <w:link w:val="71"/>
    <w:semiHidden/>
    <w:qFormat/>
    <w:uiPriority w:val="99"/>
    <w:rPr>
      <w:b/>
      <w:bCs/>
      <w:sz w:val="20"/>
      <w:szCs w:val="20"/>
    </w:rPr>
  </w:style>
  <w:style w:type="paragraph" w:styleId="38">
    <w:name w:val="Body Text First Indent 2"/>
    <w:basedOn w:val="17"/>
    <w:link w:val="72"/>
    <w:qFormat/>
    <w:locked/>
    <w:uiPriority w:val="99"/>
    <w:pPr>
      <w:autoSpaceDE/>
      <w:autoSpaceDN/>
      <w:adjustRightInd/>
      <w:spacing w:line="240" w:lineRule="auto"/>
      <w:ind w:left="420" w:leftChars="200" w:firstLine="420" w:firstLineChars="200"/>
    </w:pPr>
    <w:rPr>
      <w:rFonts w:ascii="Times New Roman"/>
      <w:sz w:val="24"/>
      <w:szCs w:val="24"/>
    </w:rPr>
  </w:style>
  <w:style w:type="table" w:styleId="40">
    <w:name w:val="Table Grid"/>
    <w:basedOn w:val="39"/>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Emphasis"/>
    <w:qFormat/>
    <w:uiPriority w:val="0"/>
    <w:rPr>
      <w:i/>
      <w:iCs/>
    </w:rPr>
  </w:style>
  <w:style w:type="character" w:styleId="45">
    <w:name w:val="Hyperlink"/>
    <w:qFormat/>
    <w:uiPriority w:val="99"/>
    <w:rPr>
      <w:rFonts w:cs="Times New Roman"/>
      <w:color w:val="0000FF"/>
      <w:u w:val="single"/>
    </w:rPr>
  </w:style>
  <w:style w:type="character" w:styleId="46">
    <w:name w:val="annotation reference"/>
    <w:qFormat/>
    <w:uiPriority w:val="99"/>
    <w:rPr>
      <w:rFonts w:cs="Times New Roman"/>
      <w:sz w:val="21"/>
    </w:rPr>
  </w:style>
  <w:style w:type="paragraph" w:customStyle="1" w:styleId="47">
    <w:name w:val="首行缩进"/>
    <w:basedOn w:val="1"/>
    <w:qFormat/>
    <w:uiPriority w:val="99"/>
    <w:pPr>
      <w:spacing w:line="360" w:lineRule="auto"/>
      <w:ind w:firstLine="480" w:firstLineChars="200"/>
    </w:pPr>
    <w:rPr>
      <w:rFonts w:ascii="宋体" w:hAnsi="宋体" w:cs="宋体"/>
    </w:rPr>
  </w:style>
  <w:style w:type="character" w:customStyle="1" w:styleId="48">
    <w:name w:val="标题 1 字符"/>
    <w:link w:val="3"/>
    <w:qFormat/>
    <w:locked/>
    <w:uiPriority w:val="99"/>
    <w:rPr>
      <w:rFonts w:ascii="Times New Roman" w:hAnsi="Times New Roman" w:eastAsia="宋体" w:cs="Times New Roman"/>
      <w:b/>
      <w:bCs/>
      <w:kern w:val="44"/>
      <w:sz w:val="44"/>
      <w:szCs w:val="44"/>
    </w:rPr>
  </w:style>
  <w:style w:type="character" w:customStyle="1" w:styleId="49">
    <w:name w:val="标题 2 字符"/>
    <w:link w:val="2"/>
    <w:qFormat/>
    <w:locked/>
    <w:uiPriority w:val="99"/>
    <w:rPr>
      <w:rFonts w:ascii="Arial" w:hAnsi="Arial" w:eastAsia="黑体" w:cs="Times New Roman"/>
      <w:b/>
      <w:bCs/>
      <w:sz w:val="32"/>
      <w:szCs w:val="32"/>
    </w:rPr>
  </w:style>
  <w:style w:type="character" w:customStyle="1" w:styleId="50">
    <w:name w:val="标题 3 字符"/>
    <w:link w:val="4"/>
    <w:qFormat/>
    <w:locked/>
    <w:uiPriority w:val="99"/>
    <w:rPr>
      <w:rFonts w:ascii="黑体" w:hAnsi="Times New Roman" w:eastAsia="黑体" w:cs="Times New Roman"/>
      <w:kern w:val="0"/>
      <w:sz w:val="20"/>
      <w:szCs w:val="20"/>
    </w:rPr>
  </w:style>
  <w:style w:type="character" w:customStyle="1" w:styleId="51">
    <w:name w:val="正文缩进 字符"/>
    <w:link w:val="5"/>
    <w:qFormat/>
    <w:locked/>
    <w:uiPriority w:val="99"/>
    <w:rPr>
      <w:rFonts w:ascii="楷体_GB2312" w:hAnsi="Times New Roman" w:eastAsia="楷体_GB2312"/>
      <w:sz w:val="28"/>
    </w:rPr>
  </w:style>
  <w:style w:type="character" w:customStyle="1" w:styleId="52">
    <w:name w:val="标题 4 字符"/>
    <w:link w:val="6"/>
    <w:qFormat/>
    <w:locked/>
    <w:uiPriority w:val="99"/>
    <w:rPr>
      <w:rFonts w:ascii="Times New Roman" w:hAnsi="Times New Roman" w:eastAsia="宋体" w:cs="Times New Roman"/>
      <w:sz w:val="20"/>
      <w:szCs w:val="20"/>
    </w:rPr>
  </w:style>
  <w:style w:type="character" w:customStyle="1" w:styleId="53">
    <w:name w:val="标题 5 字符"/>
    <w:link w:val="7"/>
    <w:qFormat/>
    <w:locked/>
    <w:uiPriority w:val="99"/>
    <w:rPr>
      <w:rFonts w:ascii="Times New Roman" w:hAnsi="Times New Roman" w:eastAsia="宋体" w:cs="Times New Roman"/>
      <w:b/>
      <w:bCs/>
      <w:sz w:val="28"/>
      <w:szCs w:val="28"/>
    </w:rPr>
  </w:style>
  <w:style w:type="character" w:customStyle="1" w:styleId="54">
    <w:name w:val="标题 6 字符"/>
    <w:link w:val="8"/>
    <w:qFormat/>
    <w:locked/>
    <w:uiPriority w:val="99"/>
    <w:rPr>
      <w:rFonts w:ascii="Arial" w:hAnsi="Arial" w:eastAsia="黑体" w:cs="Times New Roman"/>
      <w:b/>
      <w:bCs/>
      <w:sz w:val="24"/>
      <w:szCs w:val="24"/>
    </w:rPr>
  </w:style>
  <w:style w:type="character" w:customStyle="1" w:styleId="55">
    <w:name w:val="标题 7 字符"/>
    <w:link w:val="9"/>
    <w:qFormat/>
    <w:locked/>
    <w:uiPriority w:val="99"/>
    <w:rPr>
      <w:rFonts w:ascii="Times New Roman" w:hAnsi="Times New Roman" w:eastAsia="宋体" w:cs="Times New Roman"/>
      <w:b/>
      <w:bCs/>
      <w:sz w:val="24"/>
      <w:szCs w:val="24"/>
    </w:rPr>
  </w:style>
  <w:style w:type="character" w:customStyle="1" w:styleId="56">
    <w:name w:val="标题 8 字符"/>
    <w:link w:val="10"/>
    <w:qFormat/>
    <w:locked/>
    <w:uiPriority w:val="99"/>
    <w:rPr>
      <w:rFonts w:ascii="Arial" w:hAnsi="Arial" w:eastAsia="黑体" w:cs="Times New Roman"/>
      <w:sz w:val="24"/>
      <w:szCs w:val="24"/>
    </w:rPr>
  </w:style>
  <w:style w:type="character" w:customStyle="1" w:styleId="57">
    <w:name w:val="标题 9 字符"/>
    <w:link w:val="11"/>
    <w:qFormat/>
    <w:locked/>
    <w:uiPriority w:val="99"/>
    <w:rPr>
      <w:rFonts w:ascii="Arial" w:hAnsi="Arial" w:eastAsia="黑体" w:cs="Times New Roman"/>
      <w:sz w:val="21"/>
      <w:szCs w:val="21"/>
    </w:rPr>
  </w:style>
  <w:style w:type="character" w:customStyle="1" w:styleId="58">
    <w:name w:val="文档结构图 字符"/>
    <w:link w:val="14"/>
    <w:semiHidden/>
    <w:qFormat/>
    <w:locked/>
    <w:uiPriority w:val="99"/>
    <w:rPr>
      <w:rFonts w:ascii="宋体" w:hAnsi="Times New Roman" w:eastAsia="宋体" w:cs="Times New Roman"/>
      <w:sz w:val="18"/>
      <w:szCs w:val="18"/>
    </w:rPr>
  </w:style>
  <w:style w:type="character" w:customStyle="1" w:styleId="59">
    <w:name w:val="批注文字 字符"/>
    <w:link w:val="15"/>
    <w:qFormat/>
    <w:locked/>
    <w:uiPriority w:val="99"/>
    <w:rPr>
      <w:rFonts w:ascii="Times New Roman" w:hAnsi="Times New Roman" w:eastAsia="宋体" w:cs="Times New Roman"/>
      <w:sz w:val="24"/>
      <w:szCs w:val="24"/>
    </w:rPr>
  </w:style>
  <w:style w:type="character" w:customStyle="1" w:styleId="60">
    <w:name w:val="正文文本 字符"/>
    <w:link w:val="16"/>
    <w:qFormat/>
    <w:locked/>
    <w:uiPriority w:val="99"/>
    <w:rPr>
      <w:rFonts w:ascii="Times New Roman" w:hAnsi="Times New Roman" w:eastAsia="宋体" w:cs="Times New Roman"/>
      <w:sz w:val="20"/>
      <w:szCs w:val="20"/>
    </w:rPr>
  </w:style>
  <w:style w:type="character" w:customStyle="1" w:styleId="61">
    <w:name w:val="正文文本缩进 字符"/>
    <w:link w:val="17"/>
    <w:qFormat/>
    <w:locked/>
    <w:uiPriority w:val="99"/>
    <w:rPr>
      <w:rFonts w:ascii="楷体_GB2312" w:hAnsi="Times New Roman" w:eastAsia="楷体_GB2312" w:cs="Times New Roman"/>
      <w:kern w:val="0"/>
      <w:sz w:val="20"/>
      <w:szCs w:val="20"/>
    </w:rPr>
  </w:style>
  <w:style w:type="character" w:customStyle="1" w:styleId="62">
    <w:name w:val="纯文本 字符"/>
    <w:link w:val="21"/>
    <w:qFormat/>
    <w:locked/>
    <w:uiPriority w:val="99"/>
    <w:rPr>
      <w:rFonts w:ascii="宋体" w:hAnsi="Courier New" w:eastAsia="宋体" w:cs="Times New Roman"/>
      <w:sz w:val="20"/>
      <w:szCs w:val="20"/>
    </w:rPr>
  </w:style>
  <w:style w:type="character" w:customStyle="1" w:styleId="63">
    <w:name w:val="日期 字符"/>
    <w:link w:val="23"/>
    <w:qFormat/>
    <w:locked/>
    <w:uiPriority w:val="99"/>
    <w:rPr>
      <w:rFonts w:ascii="Times New Roman" w:hAnsi="Times New Roman" w:eastAsia="宋体" w:cs="Times New Roman"/>
      <w:sz w:val="20"/>
      <w:szCs w:val="20"/>
    </w:rPr>
  </w:style>
  <w:style w:type="character" w:customStyle="1" w:styleId="64">
    <w:name w:val="正文文本缩进 2 字符"/>
    <w:link w:val="24"/>
    <w:qFormat/>
    <w:locked/>
    <w:uiPriority w:val="99"/>
    <w:rPr>
      <w:rFonts w:ascii="仿宋_GB2312" w:hAnsi="宋体" w:eastAsia="仿宋_GB2312" w:cs="Times New Roman"/>
      <w:sz w:val="24"/>
      <w:szCs w:val="24"/>
    </w:rPr>
  </w:style>
  <w:style w:type="character" w:customStyle="1" w:styleId="65">
    <w:name w:val="批注框文本 字符"/>
    <w:link w:val="25"/>
    <w:semiHidden/>
    <w:qFormat/>
    <w:locked/>
    <w:uiPriority w:val="99"/>
    <w:rPr>
      <w:rFonts w:ascii="Times New Roman" w:hAnsi="Times New Roman" w:eastAsia="宋体" w:cs="Times New Roman"/>
      <w:sz w:val="18"/>
      <w:szCs w:val="18"/>
    </w:rPr>
  </w:style>
  <w:style w:type="character" w:customStyle="1" w:styleId="66">
    <w:name w:val="页脚 字符"/>
    <w:link w:val="26"/>
    <w:qFormat/>
    <w:locked/>
    <w:uiPriority w:val="99"/>
    <w:rPr>
      <w:rFonts w:ascii="Times New Roman" w:hAnsi="Times New Roman" w:eastAsia="宋体" w:cs="Times New Roman"/>
      <w:sz w:val="18"/>
      <w:szCs w:val="18"/>
    </w:rPr>
  </w:style>
  <w:style w:type="character" w:customStyle="1" w:styleId="67">
    <w:name w:val="页眉 字符"/>
    <w:link w:val="27"/>
    <w:qFormat/>
    <w:locked/>
    <w:uiPriority w:val="99"/>
    <w:rPr>
      <w:rFonts w:ascii="Times New Roman" w:hAnsi="Times New Roman" w:eastAsia="宋体" w:cs="Times New Roman"/>
      <w:sz w:val="18"/>
      <w:szCs w:val="18"/>
    </w:rPr>
  </w:style>
  <w:style w:type="character" w:customStyle="1" w:styleId="68">
    <w:name w:val="副标题 字符"/>
    <w:link w:val="30"/>
    <w:qFormat/>
    <w:locked/>
    <w:uiPriority w:val="99"/>
    <w:rPr>
      <w:rFonts w:ascii="Cambria" w:hAnsi="Cambria" w:eastAsia="宋体" w:cs="黑体"/>
      <w:b/>
      <w:bCs/>
      <w:kern w:val="28"/>
      <w:sz w:val="32"/>
      <w:szCs w:val="32"/>
    </w:rPr>
  </w:style>
  <w:style w:type="character" w:customStyle="1" w:styleId="69">
    <w:name w:val="正文文本缩进 3 字符"/>
    <w:link w:val="32"/>
    <w:qFormat/>
    <w:locked/>
    <w:uiPriority w:val="99"/>
    <w:rPr>
      <w:rFonts w:ascii="Times New Roman" w:hAnsi="Times New Roman" w:eastAsia="宋体" w:cs="Times New Roman"/>
      <w:sz w:val="20"/>
      <w:szCs w:val="20"/>
    </w:rPr>
  </w:style>
  <w:style w:type="character" w:customStyle="1" w:styleId="70">
    <w:name w:val="标题 字符"/>
    <w:link w:val="36"/>
    <w:qFormat/>
    <w:locked/>
    <w:uiPriority w:val="99"/>
    <w:rPr>
      <w:rFonts w:ascii="Cambria" w:hAnsi="Cambria" w:eastAsia="宋体" w:cs="Times New Roman"/>
      <w:b/>
      <w:bCs/>
      <w:sz w:val="32"/>
      <w:szCs w:val="32"/>
    </w:rPr>
  </w:style>
  <w:style w:type="character" w:customStyle="1" w:styleId="71">
    <w:name w:val="批注主题 字符"/>
    <w:link w:val="37"/>
    <w:semiHidden/>
    <w:qFormat/>
    <w:locked/>
    <w:uiPriority w:val="99"/>
    <w:rPr>
      <w:rFonts w:ascii="Times New Roman" w:hAnsi="Times New Roman" w:eastAsia="宋体" w:cs="Times New Roman"/>
      <w:b/>
      <w:bCs/>
      <w:sz w:val="20"/>
      <w:szCs w:val="20"/>
    </w:rPr>
  </w:style>
  <w:style w:type="character" w:customStyle="1" w:styleId="72">
    <w:name w:val="正文文本首行缩进 2 字符"/>
    <w:link w:val="38"/>
    <w:semiHidden/>
    <w:qFormat/>
    <w:locked/>
    <w:uiPriority w:val="99"/>
    <w:rPr>
      <w:rFonts w:ascii="Times New Roman" w:hAnsi="Times New Roman" w:eastAsia="楷体_GB2312" w:cs="Times New Roman"/>
      <w:kern w:val="0"/>
      <w:sz w:val="24"/>
      <w:szCs w:val="24"/>
    </w:rPr>
  </w:style>
  <w:style w:type="character" w:customStyle="1" w:styleId="73">
    <w:name w:val="Char Char1"/>
    <w:qFormat/>
    <w:uiPriority w:val="99"/>
    <w:rPr>
      <w:rFonts w:ascii="楷体_GB2312" w:eastAsia="楷体_GB2312"/>
      <w:sz w:val="28"/>
    </w:rPr>
  </w:style>
  <w:style w:type="character" w:customStyle="1" w:styleId="74">
    <w:name w:val="Char Char"/>
    <w:qFormat/>
    <w:uiPriority w:val="99"/>
    <w:rPr>
      <w:rFonts w:ascii="宋体"/>
      <w:kern w:val="2"/>
      <w:sz w:val="18"/>
    </w:rPr>
  </w:style>
  <w:style w:type="character" w:customStyle="1" w:styleId="75">
    <w:name w:val="_Style 74"/>
    <w:qFormat/>
    <w:uiPriority w:val="19"/>
    <w:rPr>
      <w:i/>
      <w:iCs/>
      <w:color w:val="808080"/>
    </w:rPr>
  </w:style>
  <w:style w:type="character" w:customStyle="1" w:styleId="76">
    <w:name w:val="批注文字 Char1"/>
    <w:qFormat/>
    <w:uiPriority w:val="99"/>
    <w:rPr>
      <w:kern w:val="2"/>
      <w:sz w:val="21"/>
    </w:rPr>
  </w:style>
  <w:style w:type="paragraph" w:customStyle="1" w:styleId="77">
    <w:name w:val="bt1bt1"/>
    <w:basedOn w:val="3"/>
    <w:qFormat/>
    <w:uiPriority w:val="99"/>
    <w:pPr>
      <w:spacing w:line="240" w:lineRule="auto"/>
      <w:jc w:val="center"/>
    </w:pPr>
    <w:rPr>
      <w:rFonts w:ascii="黑体" w:eastAsia="黑体"/>
      <w:b w:val="0"/>
      <w:sz w:val="36"/>
      <w:szCs w:val="36"/>
    </w:rPr>
  </w:style>
  <w:style w:type="paragraph" w:customStyle="1" w:styleId="78">
    <w:name w:val="列出段落11"/>
    <w:basedOn w:val="1"/>
    <w:qFormat/>
    <w:uiPriority w:val="99"/>
    <w:pPr>
      <w:ind w:firstLine="420" w:firstLineChars="200"/>
    </w:pPr>
    <w:rPr>
      <w:rFonts w:ascii="Calibri" w:hAnsi="Calibri"/>
      <w:szCs w:val="22"/>
    </w:rPr>
  </w:style>
  <w:style w:type="paragraph" w:customStyle="1" w:styleId="79">
    <w:name w:val="_Style 36"/>
    <w:basedOn w:val="1"/>
    <w:qFormat/>
    <w:uiPriority w:val="99"/>
    <w:pPr>
      <w:ind w:firstLine="420" w:firstLineChars="200"/>
    </w:pPr>
    <w:rPr>
      <w:szCs w:val="20"/>
    </w:rPr>
  </w:style>
  <w:style w:type="paragraph" w:customStyle="1" w:styleId="80">
    <w:name w:val="样式 标题 3 + (中文) 黑体 小四 非加粗 段前: 7.8 磅 段后: 0 磅 行距: 固定值 20 磅"/>
    <w:basedOn w:val="4"/>
    <w:qFormat/>
    <w:uiPriority w:val="99"/>
    <w:pPr>
      <w:autoSpaceDE/>
      <w:autoSpaceDN/>
      <w:adjustRightInd/>
      <w:spacing w:before="0" w:after="0" w:line="400" w:lineRule="exact"/>
    </w:pPr>
    <w:rPr>
      <w:rFonts w:ascii="Times New Roman" w:cs="宋体"/>
      <w:kern w:val="2"/>
      <w:sz w:val="24"/>
    </w:rPr>
  </w:style>
  <w:style w:type="paragraph" w:customStyle="1" w:styleId="81">
    <w:name w:val="（缩进）正文"/>
    <w:basedOn w:val="1"/>
    <w:qFormat/>
    <w:uiPriority w:val="0"/>
    <w:pPr>
      <w:ind w:firstLine="480" w:firstLineChars="200"/>
    </w:pPr>
    <w:rPr>
      <w:rFonts w:ascii="Calibri" w:hAnsi="Calibri"/>
      <w:sz w:val="24"/>
      <w:szCs w:val="21"/>
    </w:rPr>
  </w:style>
  <w:style w:type="paragraph" w:customStyle="1" w:styleId="82">
    <w:name w:val="Char1"/>
    <w:basedOn w:val="14"/>
    <w:qFormat/>
    <w:uiPriority w:val="99"/>
    <w:pPr>
      <w:shd w:val="clear" w:color="auto" w:fill="000080"/>
      <w:spacing w:line="360" w:lineRule="auto"/>
    </w:pPr>
    <w:rPr>
      <w:rFonts w:ascii="Tahoma" w:hAnsi="Tahoma"/>
      <w:sz w:val="24"/>
      <w:szCs w:val="24"/>
    </w:rPr>
  </w:style>
  <w:style w:type="paragraph" w:styleId="83">
    <w:name w:val="List Paragraph"/>
    <w:basedOn w:val="1"/>
    <w:qFormat/>
    <w:uiPriority w:val="99"/>
    <w:pPr>
      <w:ind w:firstLine="420" w:firstLineChars="200"/>
    </w:pPr>
  </w:style>
  <w:style w:type="paragraph" w:customStyle="1" w:styleId="84">
    <w:name w:val="节"/>
    <w:basedOn w:val="2"/>
    <w:qFormat/>
    <w:uiPriority w:val="99"/>
    <w:pPr>
      <w:numPr>
        <w:ilvl w:val="1"/>
        <w:numId w:val="1"/>
      </w:numPr>
      <w:tabs>
        <w:tab w:val="left" w:pos="432"/>
      </w:tabs>
      <w:spacing w:line="240" w:lineRule="auto"/>
    </w:pPr>
    <w:rPr>
      <w:rFonts w:ascii="黑体"/>
      <w:b w:val="0"/>
      <w:sz w:val="28"/>
      <w:szCs w:val="28"/>
    </w:rPr>
  </w:style>
  <w:style w:type="paragraph" w:customStyle="1" w:styleId="85">
    <w:name w:val="_Style 84"/>
    <w:qFormat/>
    <w:uiPriority w:val="99"/>
    <w:rPr>
      <w:rFonts w:ascii="Times New Roman" w:hAnsi="Times New Roman" w:eastAsia="宋体" w:cs="Times New Roman"/>
      <w:kern w:val="2"/>
      <w:sz w:val="21"/>
      <w:szCs w:val="24"/>
      <w:lang w:val="en-US" w:eastAsia="zh-CN" w:bidi="ar-SA"/>
    </w:rPr>
  </w:style>
  <w:style w:type="paragraph" w:customStyle="1" w:styleId="86">
    <w:name w:val="WPSOffice手动目录 3"/>
    <w:qFormat/>
    <w:uiPriority w:val="0"/>
    <w:pPr>
      <w:ind w:leftChars="400"/>
    </w:pPr>
    <w:rPr>
      <w:rFonts w:ascii="Times New Roman" w:hAnsi="Times New Roman" w:eastAsia="宋体" w:cs="Times New Roman"/>
      <w:lang w:val="en-US" w:eastAsia="zh-CN" w:bidi="ar-SA"/>
    </w:rPr>
  </w:style>
  <w:style w:type="paragraph" w:customStyle="1" w:styleId="87">
    <w:name w:val="Char Char Char Char Char Char Char Char Char Char Char Char Char"/>
    <w:basedOn w:val="14"/>
    <w:qFormat/>
    <w:uiPriority w:val="99"/>
    <w:pPr>
      <w:shd w:val="clear" w:color="auto" w:fill="000080"/>
    </w:pPr>
    <w:rPr>
      <w:rFonts w:ascii="Tahoma" w:hAnsi="Tahoma"/>
      <w:sz w:val="24"/>
      <w:szCs w:val="24"/>
    </w:rPr>
  </w:style>
  <w:style w:type="paragraph" w:customStyle="1" w:styleId="88">
    <w:name w:val="_Style 87"/>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8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0">
    <w:name w:val="新定义正文"/>
    <w:basedOn w:val="1"/>
    <w:qFormat/>
    <w:uiPriority w:val="99"/>
    <w:pPr>
      <w:widowControl/>
    </w:pPr>
    <w:rPr>
      <w:color w:val="000000"/>
      <w:szCs w:val="21"/>
    </w:rPr>
  </w:style>
  <w:style w:type="paragraph" w:customStyle="1" w:styleId="91">
    <w:name w:val="TOC 标题2"/>
    <w:basedOn w:val="3"/>
    <w:next w:val="1"/>
    <w:qFormat/>
    <w:uiPriority w:val="99"/>
    <w:pPr>
      <w:widowControl/>
      <w:spacing w:before="480" w:after="0" w:line="276" w:lineRule="auto"/>
      <w:jc w:val="left"/>
      <w:outlineLvl w:val="9"/>
    </w:pPr>
    <w:rPr>
      <w:rFonts w:ascii="Cambria" w:hAnsi="Cambria" w:cs="黑体"/>
      <w:color w:val="365F90"/>
      <w:kern w:val="0"/>
      <w:sz w:val="28"/>
      <w:szCs w:val="28"/>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列出段落1"/>
    <w:basedOn w:val="1"/>
    <w:qFormat/>
    <w:uiPriority w:val="99"/>
    <w:pPr>
      <w:ind w:firstLine="420" w:firstLineChars="200"/>
    </w:pPr>
    <w:rPr>
      <w:szCs w:val="20"/>
    </w:rPr>
  </w:style>
  <w:style w:type="paragraph" w:customStyle="1" w:styleId="94">
    <w:name w:val="修订1"/>
    <w:qFormat/>
    <w:uiPriority w:val="99"/>
    <w:rPr>
      <w:rFonts w:ascii="Times New Roman" w:hAnsi="Times New Roman" w:eastAsia="宋体" w:cs="Times New Roman"/>
      <w:kern w:val="2"/>
      <w:sz w:val="21"/>
      <w:szCs w:val="24"/>
      <w:lang w:val="en-US" w:eastAsia="zh-CN" w:bidi="ar-SA"/>
    </w:rPr>
  </w:style>
  <w:style w:type="paragraph" w:customStyle="1" w:styleId="9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7">
    <w:name w:val="WPSOffice手动目录 2"/>
    <w:qFormat/>
    <w:uiPriority w:val="0"/>
    <w:pPr>
      <w:ind w:leftChars="200"/>
    </w:pPr>
    <w:rPr>
      <w:rFonts w:ascii="Times New Roman" w:hAnsi="Times New Roman" w:eastAsia="宋体" w:cs="Times New Roman"/>
      <w:lang w:val="en-US" w:eastAsia="zh-CN" w:bidi="ar-SA"/>
    </w:rPr>
  </w:style>
  <w:style w:type="paragraph" w:customStyle="1" w:styleId="98">
    <w:name w:val="p0"/>
    <w:basedOn w:val="1"/>
    <w:qFormat/>
    <w:uiPriority w:val="0"/>
    <w:pPr>
      <w:widowControl/>
    </w:pPr>
    <w:rPr>
      <w:kern w:val="0"/>
      <w:szCs w:val="21"/>
    </w:rPr>
  </w:style>
  <w:style w:type="paragraph" w:customStyle="1" w:styleId="99">
    <w:name w:val="style9"/>
    <w:basedOn w:val="1"/>
    <w:qFormat/>
    <w:uiPriority w:val="0"/>
    <w:pPr>
      <w:widowControl/>
      <w:spacing w:before="100" w:beforeAutospacing="1" w:after="100" w:afterAutospacing="1" w:line="360" w:lineRule="atLeast"/>
      <w:jc w:val="left"/>
    </w:pPr>
    <w:rPr>
      <w:rFonts w:hint="eastAsia" w:ascii="宋体" w:hAnsi="宋体"/>
      <w:color w:val="000000"/>
      <w:spacing w:val="15"/>
      <w:kern w:val="0"/>
      <w:sz w:val="24"/>
    </w:rPr>
  </w:style>
  <w:style w:type="character" w:customStyle="1" w:styleId="100">
    <w:name w:val="font31"/>
    <w:qFormat/>
    <w:uiPriority w:val="0"/>
    <w:rPr>
      <w:rFonts w:hint="eastAsia" w:ascii="宋体" w:hAnsi="宋体" w:eastAsia="宋体" w:cs="宋体"/>
      <w:color w:val="000000"/>
      <w:sz w:val="18"/>
      <w:szCs w:val="18"/>
      <w:u w:val="none"/>
    </w:rPr>
  </w:style>
  <w:style w:type="character" w:customStyle="1" w:styleId="101">
    <w:name w:val="font21"/>
    <w:qFormat/>
    <w:uiPriority w:val="0"/>
    <w:rPr>
      <w:rFonts w:hint="eastAsia" w:ascii="宋体" w:hAnsi="宋体" w:eastAsia="宋体" w:cs="宋体"/>
      <w:color w:val="000000"/>
      <w:sz w:val="21"/>
      <w:szCs w:val="21"/>
      <w:u w:val="none"/>
    </w:rPr>
  </w:style>
  <w:style w:type="paragraph" w:customStyle="1" w:styleId="102">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2850</Words>
  <Characters>16247</Characters>
  <Lines>135</Lines>
  <Paragraphs>38</Paragraphs>
  <TotalTime>0</TotalTime>
  <ScaleCrop>false</ScaleCrop>
  <LinksUpToDate>false</LinksUpToDate>
  <CharactersWithSpaces>19059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2020-04-01T01:40:00Z</dcterms:created>
  <dc:creator>MIIT</dc:creator>
  <cp:lastModifiedBy>大黄与四宝</cp:lastModifiedBy>
  <cp:lastPrinted>2019-08-09T03:14:00Z</cp:lastPrinted>
  <dcterms:modified xsi:type="dcterms:W3CDTF">2021-11-30T02:50:10Z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A11A65A124904F0B86B17CC914B72E02</vt:lpwstr>
  </property>
</Properties>
</file>